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c45e07ed8b41a4" /></Relationships>
</file>

<file path=word/document.xml><?xml version="1.0" encoding="utf-8"?>
<w:document xmlns:w="http://schemas.openxmlformats.org/wordprocessingml/2006/main">
  <w:body>
    <w:p>
      <w:r>
        <w:rPr>
          <w:b/>
        </w:rPr>
        <w:r>
          <w:rPr/>
          <w:t xml:space="preserve">6195-S2</w:t>
        </w:r>
      </w:r>
      <w:r>
        <w:rPr>
          <w:b/>
        </w:rPr>
        <w:t xml:space="preserve"> </w:t>
        <w:t xml:space="preserve">AMS</w:t>
      </w:r>
      <w:r>
        <w:rPr>
          <w:b/>
        </w:rPr>
        <w:t xml:space="preserve"> </w:t>
        <w:r>
          <w:rPr/>
          <w:t xml:space="preserve">RIVE</w:t>
        </w:r>
      </w:r>
      <w:r>
        <w:rPr>
          <w:b/>
        </w:rPr>
        <w:t xml:space="preserve"> </w:t>
        <w:r>
          <w:rPr/>
          <w:t xml:space="preserve">S4767.1</w:t>
        </w:r>
      </w:r>
      <w:r>
        <w:rPr>
          <w:b/>
        </w:rPr>
        <w:t xml:space="preserve"> - NOT FOR FLOOR USE</w:t>
      </w:r>
    </w:p>
    <w:p>
      <w:pPr>
        <w:ind w:left="0" w:right="0" w:firstLine="576"/>
      </w:pPr>
    </w:p>
    <w:p>
      <w:pPr>
        <w:spacing w:before="480" w:after="0" w:line="408" w:lineRule="exact"/>
      </w:pPr>
      <w:r>
        <w:rPr>
          <w:b/>
          <w:u w:val="single"/>
        </w:rPr>
        <w:t xml:space="preserve">2SSB 6195</w:t>
      </w:r>
      <w:r>
        <w:t xml:space="preserve"> -</w:t>
      </w:r>
      <w:r>
        <w:t xml:space="preserve"> </w:t>
        <w:t xml:space="preserve">S AMD</w:t>
      </w:r>
      <w:r>
        <w:t xml:space="preserve"> </w:t>
      </w:r>
      <w:r>
        <w:rPr>
          <w:b/>
        </w:rPr>
        <w:t xml:space="preserve">625</w:t>
      </w:r>
    </w:p>
    <w:p>
      <w:pPr>
        <w:spacing w:before="0" w:after="0" w:line="408" w:lineRule="exact"/>
        <w:ind w:left="0" w:right="0" w:firstLine="576"/>
        <w:jc w:val="left"/>
      </w:pPr>
      <w:r>
        <w:rPr/>
        <w:t xml:space="preserve">By Senator Rivers</w:t>
      </w:r>
    </w:p>
    <w:p>
      <w:pPr>
        <w:jc w:val="right"/>
      </w:pPr>
      <w:r>
        <w:rPr>
          <w:b/>
        </w:rPr>
        <w:t xml:space="preserve">ADOPTED 02/16/2016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available information to determine whether additional state legislation is needed to help school districts to support state-funded all-day kindergarten and class size reduction in kindergarten through third grade.</w:t>
      </w:r>
    </w:p>
    <w:p>
      <w:pPr>
        <w:spacing w:before="0" w:after="0" w:line="408" w:lineRule="exact"/>
        <w:ind w:left="0" w:right="0" w:firstLine="576"/>
        <w:jc w:val="left"/>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(5)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(6)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(7) Recommendations of the task force require the affirmative vote of five of its members.</w:t>
      </w:r>
    </w:p>
    <w:p>
      <w:pPr>
        <w:spacing w:before="0" w:after="0" w:line="408" w:lineRule="exact"/>
        <w:ind w:left="0" w:right="0" w:firstLine="576"/>
        <w:jc w:val="left"/>
      </w:pPr>
      <w:r>
        <w:rPr/>
        <w:t xml:space="preserve">(8)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(9) Meetings of the task force shall comply with Joint Rule 10, Senate Rule 45, and House of Representatives Rule 24.</w:t>
      </w:r>
    </w:p>
    <w:p>
      <w:pPr>
        <w:spacing w:before="0" w:after="0" w:line="408" w:lineRule="exact"/>
        <w:ind w:left="0" w:right="0" w:firstLine="576"/>
        <w:jc w:val="left"/>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(11)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r>
        <w:rPr/>
        <w:t xml:space="preserve">"</w:t>
      </w:r>
    </w:p>
    <w:p>
      <w:pPr>
        <w:spacing w:before="480" w:after="0" w:line="408" w:lineRule="exact"/>
      </w:pPr>
      <w:r>
        <w:rPr>
          <w:b/>
          <w:u w:val="single"/>
        </w:rPr>
        <w:t xml:space="preserve">2SSB 6195</w:t>
      </w:r>
      <w:r>
        <w:t xml:space="preserve"> -</w:t>
      </w:r>
      <w:r>
        <w:t xml:space="preserve"> </w:t>
        <w:t xml:space="preserve">S AMD</w:t>
      </w:r>
      <w:r>
        <w:t xml:space="preserve"> </w:t>
      </w:r>
      <w:r>
        <w:rPr>
          <w:b/>
        </w:rPr>
        <w:t xml:space="preserve">625</w:t>
      </w:r>
    </w:p>
    <w:p>
      <w:pPr>
        <w:spacing w:before="0" w:after="0" w:line="408" w:lineRule="exact"/>
        <w:ind w:left="0" w:right="0" w:firstLine="576"/>
        <w:jc w:val="left"/>
      </w:pPr>
      <w:r>
        <w:rPr/>
        <w:t xml:space="preserve">By Senator Rivers</w:t>
      </w:r>
    </w:p>
    <w:p>
      <w:pPr>
        <w:jc w:val="right"/>
      </w:pPr>
      <w:r>
        <w:rPr>
          <w:b/>
        </w:rPr>
        <w:t xml:space="preserve">ADOPTED 02/16/2016</w:t>
      </w:r>
    </w:p>
    <w:p>
      <w:pPr>
        <w:spacing w:before="0" w:after="0" w:line="408" w:lineRule="exact"/>
        <w:ind w:left="0" w:right="0" w:firstLine="576"/>
        <w:jc w:val="left"/>
      </w:pPr>
      <w:r>
        <w:rPr/>
        <w:t xml:space="preserve">On page 1, line 1 of the title, after "obligations;" strike the remainder of the title and insert "creating new sections; making appropriations; providing an expiration date; and declaring an emergency."</w:t>
      </w:r>
    </w:p>
    <w:p>
      <w:pPr>
        <w:spacing w:before="0" w:after="0" w:line="408" w:lineRule="exact"/>
        <w:ind w:left="0" w:right="0" w:firstLine="576"/>
        <w:jc w:val="left"/>
      </w:pPr>
      <w:r>
        <w:rPr>
          <w:u w:val="single"/>
        </w:rPr>
        <w:t xml:space="preserve">EFFECT:</w:t>
      </w:r>
      <w:r>
        <w:rPr/>
        <w:t xml:space="preserve"> Strikes entire underlying bill.</w:t>
      </w:r>
    </w:p>
    <w:p>
      <w:pPr>
        <w:spacing w:before="0" w:after="0" w:line="408" w:lineRule="exact"/>
        <w:ind w:left="0" w:right="0" w:firstLine="576"/>
        <w:jc w:val="left"/>
      </w:pPr>
      <w:r>
        <w:rPr/>
        <w:t xml:space="preserve">Replaces with Engrossed Substitute House Bill No. 2366 as it passed the House: Establishes the Education Funding Task Force to continue the work of the governor's informal work group to make recommendations to the Legislature on implementing the program of basic education. Appropriates $500,000 for the Washington State Institute for Public Policy to contract for independent professional consulting services. Directs the Legislature to take legislative action by the end of the 2017 session to eliminate school district dependency on local levies for implementation of the state's program of basic education.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4c979813a74b2e" /></Relationships>
</file>