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b9cc87d3b4cd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5994-S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FRAS</w:t>
        </w:r>
      </w:r>
      <w:r>
        <w:rPr>
          <w:b/>
        </w:rPr>
        <w:t xml:space="preserve"> </w:t>
        <w:r>
          <w:rPr/>
          <w:t xml:space="preserve">S2137.1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5994</w:t>
      </w:r>
      <w:r>
        <w:t xml:space="preserve"> -</w:t>
      </w:r>
      <w:r>
        <w:t xml:space="preserve"> </w:t>
        <w:t xml:space="preserve">S AMD</w:t>
      </w:r>
      <w:t xml:space="preserve">52</w:t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Fraser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WITHDRAWN 2/27/2015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after line 8, strike all of section 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5994</w:t>
      </w:r>
      <w:r>
        <w:t xml:space="preserve"> -</w:t>
      </w:r>
      <w:r>
        <w:t xml:space="preserve"> </w:t>
        <w:t xml:space="preserve">S AMD</w:t>
      </w:r>
      <w:t xml:space="preserve">52</w:t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Fraser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WITHDRAWN 2/27/2015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2 of the title, after "70.95.030;" strike "adding a new section to chapter 36.70A RCW;"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Deletes provision requiring DOT consent to have a permit appeal handled by local hearing officer for certain DOT projects.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7c580d6134c99" /></Relationships>
</file>