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24cf4c3f4451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S2217.2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5988</w:t>
      </w:r>
      <w:r>
        <w:t xml:space="preserve"> -</w:t>
      </w:r>
      <w:r>
        <w:t xml:space="preserve"> </w:t>
        <w:t xml:space="preserve">S AMD TO S AMD (S-2022.2/15)</w:t>
      </w:r>
      <w:r>
        <w:t xml:space="preserve"> </w:t>
      </w:r>
      <w:r>
        <w:rPr>
          <w:b/>
        </w:rPr>
        <w:t xml:space="preserve">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  <w:r>
        <w:rPr>
          <w:b/>
        </w:rPr>
        <w:t xml:space="preserve">ADOPTED 3/2/2015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25 of the amendment, strike "$177,501,000" and insert "$187,501,000"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 of the amendment, strike "$201,251,000" and insert "$210,251,000"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4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$3,000,000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a corridor congestion study on state route number 16 (Tacoma Narrows bridge to state route number 302).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$4,000,000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department to restripe two southbound lanes of state route number 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$3,000,000 of the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is provided solely for the completion of the environmental impact statement for state route number 302 improvements."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$3,000,000 is provided for a corridor congestion study between SR 16 - Tacoma Narrows Bridge to SR 302. $4,000,000 is provided for two southbound lanes of SR 3 to be restriped. $3,000,000 is provided for completion of the EIS for the SR 302 improvement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f08490f804714" /></Relationships>
</file>