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6ef3babf4b45a2" /></Relationships>
</file>

<file path=word/document.xml><?xml version="1.0" encoding="utf-8"?>
<w:document xmlns:w="http://schemas.openxmlformats.org/wordprocessingml/2006/main">
  <w:body>
    <w:p>
      <w:r>
        <w:rPr>
          <w:b/>
        </w:rPr>
        <w:r>
          <w:rPr/>
          <w:t xml:space="preserve">5810-S</w:t>
        </w:r>
      </w:r>
      <w:r>
        <w:rPr>
          <w:b/>
        </w:rPr>
        <w:t xml:space="preserve"> </w:t>
        <w:t xml:space="preserve">AMS</w:t>
      </w:r>
      <w:r>
        <w:rPr>
          <w:b/>
        </w:rPr>
        <w:t xml:space="preserve"> </w:t>
        <w:r>
          <w:rPr/>
          <w:t xml:space="preserve">PEDE</w:t>
        </w:r>
      </w:r>
      <w:r>
        <w:rPr>
          <w:b/>
        </w:rPr>
        <w:t xml:space="preserve"> </w:t>
        <w:r>
          <w:rPr/>
          <w:t xml:space="preserve">S2407.2</w:t>
        </w:r>
      </w:r>
      <w:r>
        <w:rPr>
          <w:b/>
        </w:rPr>
        <w:t xml:space="preserve"> - NOT FOR FLOOR USE</w:t>
      </w:r>
    </w:p>
    <w:p>
      <w:pPr>
        <w:spacing w:before="480" w:after="0" w:line="408" w:lineRule="exact"/>
      </w:pPr>
      <w:r>
        <w:rPr>
          <w:b/>
          <w:u w:val="single"/>
        </w:rPr>
        <w:t xml:space="preserve">SSB 5810</w:t>
      </w:r>
      <w:r>
        <w:t xml:space="preserve"> -</w:t>
      </w:r>
      <w:r>
        <w:t xml:space="preserve"> </w:t>
        <w:t xml:space="preserve">S AMD</w:t>
      </w:r>
      <w:r>
        <w:t xml:space="preserve"> </w:t>
      </w:r>
      <w:r>
        <w:rPr>
          <w:b/>
        </w:rPr>
        <w:t xml:space="preserve">125</w:t>
      </w:r>
    </w:p>
    <w:p>
      <w:pPr>
        <w:spacing w:before="0" w:after="0" w:line="408" w:lineRule="exact"/>
        <w:ind w:left="0" w:right="0" w:firstLine="576"/>
        <w:jc w:val="left"/>
      </w:pPr>
      <w:r>
        <w:rPr/>
        <w:t xml:space="preserve">By Senators Pedersen, Roach, Liias</w:t>
      </w:r>
    </w:p>
    <w:p>
      <w:pPr>
        <w:jc w:val="right"/>
      </w:pPr>
      <w:r>
        <w:rPr>
          <w:b/>
        </w:rPr>
        <w:t xml:space="preserve">ADOPTED 3/5/2015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this act, the legislature, to the extent not already authorized by federal or state law, authorizes electronic dealings for governmental affairs and establishes the implementation framework for electronic governmental affairs and governmental transactions. This act is intended to promote electronic transactions and remove barriers that might prevent electronic transactions with governmental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whenever the use of a written signature is authorized or required by this code with a state agency, an electronic signature may be used with the same force and effect as the use of a signature affixed by hand, as long as the electronic signature conforms to the definition in section 3 of this act and the writing conforms to section 4 of this act.</w:t>
      </w:r>
    </w:p>
    <w:p>
      <w:pPr>
        <w:spacing w:before="0" w:after="0" w:line="408" w:lineRule="exact"/>
        <w:ind w:left="0" w:right="0" w:firstLine="576"/>
        <w:jc w:val="left"/>
      </w:pPr>
      <w:r>
        <w:rPr/>
        <w:t xml:space="preserve">(2) Except as otherwise provided by law,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"signature" is used in this code for governmental affairs and is authorized by agency rule or policy pursuant to section 2 of this act,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"writing" is used in this code for governmental affairs and is authorized by agency rule or policy pursuant to section 2 of this act,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agency record retention, preservation, or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"mail" is used in this code and authorized by agency rule or policy pursuant to section 2 of this act to transmit a writing with a state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2 through 5 of this act, "state agency" means any state board, commission, bureau, committee, department, institution, division, or tribunal in the executive branch of state government, including statewide elected offices and institutions of higher education created and supported by the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spacing w:before="0" w:after="0" w:line="408" w:lineRule="exact"/>
        <w:ind w:left="0" w:right="0" w:firstLine="576"/>
        <w:jc w:val="left"/>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spacing w:before="0" w:after="0" w:line="408" w:lineRule="exact"/>
        <w:ind w:left="0" w:right="0" w:firstLine="576"/>
        <w:jc w:val="left"/>
      </w:pPr>
      <w:r>
        <w:rPr/>
        <w:t xml:space="preserve">(2) Applicants shall follow administrative procedures and administrative requirements and pay fees as provided in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spacing w:before="0" w:after="0" w:line="408" w:lineRule="exact"/>
        <w:ind w:left="0" w:right="0" w:firstLine="576"/>
        <w:jc w:val="left"/>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spacing w:before="0" w:after="0" w:line="408" w:lineRule="exact"/>
        <w:ind w:left="0" w:right="0" w:firstLine="576"/>
        <w:jc w:val="left"/>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spacing w:before="0" w:after="0" w:line="408" w:lineRule="exact"/>
        <w:ind w:left="0" w:right="0" w:firstLine="576"/>
        <w:jc w:val="left"/>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spacing w:before="0" w:after="0" w:line="408" w:lineRule="exact"/>
        <w:ind w:left="0" w:right="0" w:firstLine="576"/>
        <w:jc w:val="left"/>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spacing w:before="0" w:after="0" w:line="408" w:lineRule="exact"/>
        <w:ind w:left="0" w:right="0" w:firstLine="576"/>
        <w:jc w:val="left"/>
      </w:pPr>
      <w:r>
        <w:t>((</w:t>
      </w:r>
      <w:r>
        <w:rPr>
          <w:strike/>
        </w:rPr>
        <w:t xml:space="preserve">(3) A unit of state government, except the secretary, may not act as a certification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spacing w:before="0" w:after="0" w:line="408" w:lineRule="exact"/>
        <w:ind w:left="0" w:right="0" w:firstLine="576"/>
        <w:jc w:val="left"/>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spacing w:before="0" w:after="0" w:line="408" w:lineRule="exact"/>
        <w:ind w:left="0" w:right="0" w:firstLine="576"/>
        <w:jc w:val="left"/>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t xml:space="preserve"> </w:t>
      </w:r>
      <w:r>
        <w:rPr>
          <w:u w:val="single"/>
        </w:rPr>
        <w:t xml:space="preserve">registered</w:t>
      </w:r>
      <w:r>
        <w:rPr/>
        <w:t xml:space="preserve"> voter</w:t>
      </w:r>
      <w:r>
        <w:rPr>
          <w:u w:val="single"/>
        </w:rPr>
        <w:t xml:space="preserve">;</w:t>
      </w:r>
      <w:r>
        <w:rPr/>
        <w:t xml:space="preserve"> and</w:t>
      </w:r>
    </w:p>
    <w:p>
      <w:pPr>
        <w:spacing w:before="0" w:after="0" w:line="408" w:lineRule="exact"/>
        <w:ind w:left="0" w:right="0" w:firstLine="576"/>
        <w:jc w:val="left"/>
      </w:pPr>
      <w:r>
        <w:rPr>
          <w:u w:val="single"/>
        </w:rPr>
        <w:t xml:space="preserve">(3) A</w:t>
      </w:r>
      <w:r>
        <w:rPr/>
        <w:t xml:space="preserve"> filing fee prescribed under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390</w:t>
      </w:r>
      <w:r>
        <w:rPr/>
        <w:t xml:space="preserve"> (Electronic competitive bidding) and 2014 c 151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r>
        <w:rPr/>
        <w:t xml:space="preserve">"</w:t>
      </w:r>
    </w:p>
    <w:p>
      <w:pPr>
        <w:spacing w:before="480" w:after="0" w:line="408" w:lineRule="exact"/>
      </w:pPr>
      <w:r>
        <w:rPr>
          <w:b/>
          <w:u w:val="single"/>
        </w:rPr>
        <w:t xml:space="preserve">SSB 5810</w:t>
      </w:r>
      <w:r>
        <w:t xml:space="preserve"> -</w:t>
      </w:r>
      <w:r>
        <w:t xml:space="preserve"> </w:t>
        <w:t xml:space="preserve">S AMD</w:t>
      </w:r>
      <w:r>
        <w:t xml:space="preserve"> </w:t>
      </w:r>
      <w:r>
        <w:rPr>
          <w:b/>
        </w:rPr>
        <w:t xml:space="preserve">125</w:t>
      </w:r>
    </w:p>
    <w:p>
      <w:pPr>
        <w:spacing w:before="0" w:after="0" w:line="408" w:lineRule="exact"/>
        <w:ind w:left="0" w:right="0" w:firstLine="576"/>
        <w:jc w:val="left"/>
      </w:pPr>
      <w:r>
        <w:rPr/>
        <w:t xml:space="preserve">By Senators Pedersen, Roach, Liias</w:t>
      </w:r>
    </w:p>
    <w:p>
      <w:pPr>
        <w:jc w:val="right"/>
      </w:pPr>
      <w:r>
        <w:rPr>
          <w:b/>
        </w:rPr>
        <w:t xml:space="preserve">ADOPTED 3/5/2015</w:t>
      </w:r>
    </w:p>
    <w:p>
      <w:pPr>
        <w:spacing w:before="0" w:after="0" w:line="408" w:lineRule="exact"/>
        <w:ind w:left="0" w:right="0" w:firstLine="576"/>
        <w:jc w:val="left"/>
      </w:pPr>
      <w:r>
        <w:rPr/>
        <w:t xml:space="preserve">On page 1, line 2 of the title, after "signatures;" strike the remainder of the title and insert "amending RCW 18.25.020, 18.32.100, and 29A.72.010; reenacting and amending RCW 19.34.231; adding a new chapter to Title 19 RCW; and repealing RCW 39.04.390."</w:t>
      </w:r>
    </w:p>
    <w:p>
      <w:pPr>
        <w:spacing w:before="0" w:after="0" w:line="408" w:lineRule="exact"/>
        <w:ind w:left="0" w:right="0" w:firstLine="576"/>
        <w:jc w:val="left"/>
      </w:pPr>
      <w:r>
        <w:rPr>
          <w:u w:val="single"/>
        </w:rPr>
        <w:t xml:space="preserve">EFFECT:</w:t>
      </w:r>
      <w:r>
        <w:rPr/>
        <w:t xml:space="preserve"> Clarifies the effect of the act on existing law. The act no longer supersedes the Washington electronic authentication act. The act no longer applies provisions of ESIGN state law aspects of intrastate, interstate, or foreign transactions.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b401ce7bcc4911" /></Relationships>
</file>