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5a79319de847a2"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MCCO</w:t>
        </w:r>
      </w:r>
      <w:r>
        <w:rPr>
          <w:b/>
        </w:rPr>
        <w:t xml:space="preserve"> </w:t>
        <w:r>
          <w:rPr/>
          <w:t xml:space="preserve">S4717.2</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 TO S AMD (S-3311.1/15)</w:t>
      </w:r>
      <w:r>
        <w:t xml:space="preserve"> </w:t>
      </w:r>
      <w:r>
        <w:rPr>
          <w:b/>
        </w:rPr>
        <w:t xml:space="preserve">804</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7, line 25 of the amendment, after "2019;"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7, line 27 of the amendment, after "thereafter" insert "</w:t>
      </w:r>
      <w:r>
        <w:rPr>
          <w:u w:val="single"/>
        </w:rPr>
        <w:t xml:space="preserve">; and</w:t>
      </w:r>
    </w:p>
    <w:p>
      <w:pPr>
        <w:spacing w:before="0" w:after="0" w:line="408" w:lineRule="exact"/>
        <w:ind w:left="0" w:right="0" w:firstLine="576"/>
        <w:jc w:val="left"/>
      </w:pPr>
      <w:r>
        <w:rPr>
          <w:u w:val="single"/>
        </w:rPr>
        <w:t xml:space="preserve">(iv) Beginning January 1, 2021, the qualifying utility shall use eligible renewable resources or acquire equivalent renewable energy credits, or any combination of them, for at least fifteen percent of its load and, in addition, shall comply with the requirements of (e) of this subsection</w:t>
      </w:r>
      <w:r>
        <w:rPr/>
        <w:t xml:space="preserve">"</w:t>
      </w:r>
    </w:p>
    <w:p>
      <w:pPr>
        <w:spacing w:before="0" w:after="0" w:line="408" w:lineRule="exact"/>
        <w:ind w:left="0" w:right="0" w:firstLine="576"/>
        <w:jc w:val="left"/>
      </w:pPr>
      <w:r>
        <w:rPr/>
        <w:t xml:space="preserve">Beginning on page 8, line 7 of the amendment, after "(e)" strike all material through "</w:t>
      </w:r>
      <w:r>
        <w:rPr>
          <w:u w:val="single"/>
        </w:rPr>
        <w:t xml:space="preserve">t</w:t>
      </w:r>
      <w:r>
        <w:rPr/>
        <w:t xml:space="preserve">he" on page 9, line 15 and insert "</w:t>
      </w:r>
      <w:r>
        <w:rPr>
          <w:u w:val="single"/>
        </w:rPr>
        <w:t xml:space="preserve">Except as provided in (b), (c), and (d) of this subsection, beginning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(i)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(A) A utility's new or increased ownership interest in a new or existing generation facility or unit; and</w:t>
      </w:r>
    </w:p>
    <w:p>
      <w:pPr>
        <w:spacing w:before="0" w:after="0" w:line="408" w:lineRule="exact"/>
        <w:ind w:left="0" w:right="0" w:firstLine="576"/>
        <w:jc w:val="left"/>
      </w:pPr>
      <w:r>
        <w:rPr>
          <w:u w:val="single"/>
        </w:rPr>
        <w:t xml:space="preserve">(B)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 counted or contractually committed to another purchaser.</w:t>
      </w:r>
    </w:p>
    <w:p>
      <w:pPr>
        <w:spacing w:before="0" w:after="0" w:line="408" w:lineRule="exact"/>
        <w:ind w:left="0" w:right="0" w:firstLine="576"/>
        <w:jc w:val="left"/>
      </w:pPr>
      <w:r>
        <w:rPr>
          <w:u w:val="single"/>
        </w:rPr>
        <w:t xml:space="preserve">(ii) The following are not subject to the requirements of this subsection: (A) A utility's allocation of Bonneville power administration tier 1 power, as determined pursuant to a utility's tier 1 contract with the Bonneville power administration; (B) short-term spot market purchases; (C) generation that is found by the Washington utilities and transportation commission or a utility's governing board to be required to maintain reliable service and comply with applicable standards of the North American electric reliability corporation or its successor; and (D)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(iii)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(iv)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(2)(e)(iv) may not exceed fifty percent of the new generation acquired by the utility.</w:t>
      </w:r>
    </w:p>
    <w:p>
      <w:pPr>
        <w:spacing w:before="0" w:after="0" w:line="408" w:lineRule="exact"/>
        <w:ind w:left="0" w:right="0" w:firstLine="576"/>
        <w:jc w:val="left"/>
      </w:pPr>
      <w:r>
        <w:rPr>
          <w:u w:val="single"/>
        </w:rPr>
        <w:t xml:space="preserve">(v)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is subject to the requirements of this subsection (2)(e).</w:t>
      </w:r>
    </w:p>
    <w:p>
      <w:pPr>
        <w:spacing w:before="0" w:after="0" w:line="408" w:lineRule="exact"/>
        <w:ind w:left="0" w:right="0" w:firstLine="576"/>
        <w:jc w:val="left"/>
      </w:pPr>
      <w:r>
        <w:rPr>
          <w:u w:val="single"/>
        </w:rPr>
        <w:t xml:space="preserve">(vi) For the purposes of this subsection, "storage" means a set of technologies capable of storing previously generated electric energy and releasing that energy at a later time. For the purposes of this subsection (2)(e),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p>
    <w:p>
      <w:pPr>
        <w:spacing w:before="0" w:after="0" w:line="408" w:lineRule="exact"/>
        <w:ind w:left="0" w:right="0" w:firstLine="576"/>
        <w:jc w:val="left"/>
      </w:pPr>
      <w:r>
        <w:rPr>
          <w:u w:val="single"/>
        </w:rPr>
        <w:t xml:space="preserve">(f)</w:t>
      </w:r>
      <w:r>
        <w:rPr/>
        <w:t xml:space="preserve"> The"</w:t>
      </w:r>
    </w:p>
    <w:p>
      <w:pPr>
        <w:spacing w:before="0" w:after="0" w:line="408" w:lineRule="exact"/>
        <w:ind w:left="0" w:right="0" w:firstLine="576"/>
        <w:jc w:val="left"/>
      </w:pPr>
      <w:r>
        <w:rPr>
          <w:u w:val="single"/>
        </w:rPr>
        <w:t xml:space="preserve">EFFECT:</w:t>
      </w:r>
      <w:r>
        <w:rPr/>
        <w:t xml:space="preserve"> Replaces the compliance alternatives relating to carbon reduction investments with a compliance requirement beginning January 2021 applicable to new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f6c3d4dae44adf" /></Relationships>
</file>