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edaa6a25c4af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5498-S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S2131.4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5498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36, beginning on line 3, after "chapter" strike all material through ""Article 9"" on line 4 and insert "4.24 RCW"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36, line 10, after "is" strike "deemed" and insert "presumed"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36, after line 13,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62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If any part of this act is found to be in conflict with federal requirements that are a prescribed condition to the allocation of federal funds to the state, the Washington department of social and health services shall submit a request to obtain a statutory or regulatory waiver of provisions to the extent of the conflicting requirements in Title IV-D of the federal social security act from the federal department of health and human services."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5498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10 of the title, after "26.21A RCW;" insert "adding a new section to chapter 4.24 RCW;"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2008 UIFSA Amendments are adopted verbatim in their entirety in chapter 26.21A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new section is added to chapter 4.24 RCW that presumes (but does not deem) an order is manifestly incompatible with public policy if it violates a party's constitutional rights.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If there is found to be a conflict with federal law, DSHS must submit a waiver request to federal HHS.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e86ded8cc44dc" /></Relationships>
</file>