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17c5c2e3465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S2506.1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5329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19,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42</w:t>
      </w:r>
      <w:r>
        <w:rPr/>
        <w:t xml:space="preserve">.</w:t>
      </w:r>
      <w:r>
        <w:t xml:space="preserve">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All meetings or conferences on petitions under RCW 82.32.160 must be open to the public."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5329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3 of the title, after "adding" strike "a new section" and insert "new sections"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 petitions before the Department of Revenue must be open to the public.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6c726374740c3" /></Relationships>
</file>