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68a763e04a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S2729.1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443</w:t>
      </w:r>
    </w:p>
    <w:p>
      <w:pPr>
        <w:ind w:left="0" w:right="0" w:firstLine="360"/>
        <w:jc w:val="both"/>
      </w:pPr>
      <w:r>
        <w:rPr/>
        <w:t xml:space="preserve">By Senator Conway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Strike everything after the enacting clause and insert the following:</w:t>
      </w:r>
    </w:p>
    <w:p>
      <w:pPr>
        <w:ind w:left="0" w:right="0" w:firstLine="360"/>
        <w:jc w:val="both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A task force is established to study all spirits taxes and fees as provided in this section. The task force must review and make recommendations on the development of a comprehensive tax and fee structure for the state in consideration of the laws enacted by Initiative Measure No. 1183.</w:t>
      </w:r>
    </w:p>
    <w:p>
      <w:pPr>
        <w:ind w:left="0" w:right="0" w:firstLine="360"/>
        <w:jc w:val="both"/>
      </w:pPr>
      <w:r>
        <w:rPr/>
        <w:t xml:space="preserve">(2) The task force must consist of a total of eight members, appointed as follows:</w:t>
      </w:r>
    </w:p>
    <w:p>
      <w:pPr>
        <w:ind w:left="0" w:right="0" w:firstLine="360"/>
        <w:jc w:val="both"/>
      </w:pPr>
      <w:r>
        <w:rPr/>
        <w:t xml:space="preserve">(a) The president of the senate must appoint two members from each of the two largest caucuses of the senate;</w:t>
      </w:r>
    </w:p>
    <w:p>
      <w:pPr>
        <w:ind w:left="0" w:right="0" w:firstLine="360"/>
        <w:jc w:val="both"/>
      </w:pPr>
      <w:r>
        <w:rPr/>
        <w:t xml:space="preserve">(b) The speaker of the house of representatives must appoint two members from each of the two largest caucuses of the house of representatives.</w:t>
      </w:r>
    </w:p>
    <w:p>
      <w:pPr>
        <w:ind w:left="0" w:right="0" w:firstLine="360"/>
        <w:jc w:val="both"/>
      </w:pPr>
      <w:r>
        <w:rPr/>
        <w:t xml:space="preserve">(3) Staff support for the task force must be provided by senate committee services and the house of representatives office of program research.</w:t>
      </w:r>
    </w:p>
    <w:p>
      <w:pPr>
        <w:ind w:left="0" w:right="0" w:firstLine="360"/>
        <w:jc w:val="both"/>
      </w:pPr>
      <w:r>
        <w:rPr/>
        <w:t xml:space="preserve">(4) By December 1, 2015, and in compliance with RCW 43.01.036, the task force must submit a report to the legislature that details its findings and recommendations under this section to the appropriate legislative committees."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443</w:t>
      </w:r>
    </w:p>
    <w:p>
      <w:pPr>
        <w:ind w:left="0" w:right="0" w:firstLine="360"/>
        <w:jc w:val="both"/>
      </w:pPr>
      <w:r>
        <w:rPr/>
        <w:t xml:space="preserve">By Senator Conway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On page 1, line 1 of the title, after "Relating to" strike the remainder of the title and insert "creating a task force to study the development of a comprehensive spirits tax and fee structure; and creating a new section."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 Creates a task force to review and make recommendations on a comprehensive spirits tax and fee structure.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4c9a5600648e5" /></Relationships>
</file>