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aace2147f7424f" /></Relationships>
</file>

<file path=word/document.xml><?xml version="1.0" encoding="utf-8"?>
<w:document xmlns:w="http://schemas.openxmlformats.org/wordprocessingml/2006/main">
  <w:body>
    <w:p>
      <w:r>
        <w:rPr>
          <w:b/>
        </w:rPr>
        <w:r>
          <w:rPr/>
          <w:t xml:space="preserve">5177-S2</w:t>
        </w:r>
      </w:r>
      <w:r>
        <w:rPr>
          <w:b/>
        </w:rPr>
        <w:t xml:space="preserve"> </w:t>
        <w:t xml:space="preserve">AMS</w:t>
      </w:r>
      <w:r>
        <w:rPr>
          <w:b/>
        </w:rPr>
        <w:t xml:space="preserve"> </w:t>
        <w:r>
          <w:rPr/>
          <w:t xml:space="preserve">OBAN</w:t>
        </w:r>
      </w:r>
      <w:r>
        <w:rPr>
          <w:b/>
        </w:rPr>
        <w:t xml:space="preserve"> </w:t>
        <w:r>
          <w:rPr/>
          <w:t xml:space="preserve">S2307.2</w:t>
        </w:r>
      </w:r>
      <w:r>
        <w:rPr>
          <w:b/>
        </w:rPr>
        <w:t xml:space="preserve"> - NOT FOR FLOOR USE</w:t>
      </w:r>
    </w:p>
    <w:p>
      <w:pPr>
        <w:spacing w:before="480" w:after="0" w:line="408" w:lineRule="exact"/>
      </w:pPr>
      <w:r>
        <w:rPr>
          <w:b/>
          <w:u w:val="single"/>
        </w:rPr>
        <w:t xml:space="preserve">2SSB 5177</w:t>
      </w:r>
      <w:r>
        <w:t xml:space="preserve"> -</w:t>
      </w:r>
      <w:r>
        <w:t xml:space="preserve"> </w:t>
        <w:t xml:space="preserve">S AMD</w:t>
      </w:r>
      <w:r>
        <w:t xml:space="preserve"> </w:t>
      </w:r>
      <w:r>
        <w:rPr>
          <w:b/>
        </w:rPr>
        <w:t xml:space="preserve">96</w:t>
      </w:r>
    </w:p>
    <w:p>
      <w:pPr>
        <w:spacing w:before="0" w:after="0" w:line="408" w:lineRule="exact"/>
        <w:ind w:left="0" w:right="0" w:firstLine="576"/>
        <w:jc w:val="left"/>
      </w:pPr>
      <w:r>
        <w:rPr/>
        <w:t xml:space="preserve">By Senators O'Ban, Darneille</w:t>
      </w:r>
    </w:p>
    <w:p>
      <w:pPr>
        <w:jc w:val="right"/>
      </w:pPr>
      <w:r>
        <w:rPr>
          <w:b/>
        </w:rPr>
        <w:t xml:space="preserve">ADOPTED 3/4/2015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w:t>
      </w:r>
      <w:r>
        <w:rPr>
          <w:u w:val="single"/>
        </w:rPr>
        <w:t xml:space="preserve">to stand trial</w:t>
      </w:r>
      <w:r>
        <w:rPr/>
        <w:t xml:space="preserve">, the court shall order the proceedings against the defendant be stayed except as provided in subsection (4) of this section.</w:t>
      </w:r>
    </w:p>
    <w:p>
      <w:pPr>
        <w:spacing w:before="0" w:after="0" w:line="408" w:lineRule="exact"/>
        <w:ind w:left="0" w:right="0" w:firstLine="576"/>
        <w:jc w:val="left"/>
      </w:pPr>
      <w:r>
        <w:rPr/>
        <w:t xml:space="preserve">(b) </w:t>
      </w:r>
      <w:r>
        <w:rPr>
          <w:u w:val="single"/>
        </w:rPr>
        <w:t xml:space="preserve">The court may order a defendant who has been found to be incompetent to stand trial to undergo competency restoration treatment at a facility designated by the department if the defendant is eligible under RCW 10.77.086 or 10.77.088.</w:t>
      </w:r>
      <w:r>
        <w:rPr/>
        <w:t xml:space="preserve"> At the end of </w:t>
      </w:r>
      <w:r>
        <w:t>((</w:t>
      </w:r>
      <w:r>
        <w:rPr>
          <w:strike/>
        </w:rPr>
        <w:t xml:space="preserve">the mental health treatment and</w:t>
      </w:r>
      <w:r>
        <w:t>))</w:t>
      </w:r>
      <w:r>
        <w:rPr/>
        <w:t xml:space="preserve"> </w:t>
      </w:r>
      <w:r>
        <w:rPr>
          <w:u w:val="single"/>
        </w:rPr>
        <w:t xml:space="preserve">each competency</w:t>
      </w:r>
      <w:r>
        <w:rPr/>
        <w:t xml:space="preserve"> restoration period</w:t>
      </w:r>
      <w:r>
        <w:t>((</w:t>
      </w:r>
      <w:r>
        <w:rPr>
          <w:strike/>
        </w:rPr>
        <w:t xml:space="preserve">, if any,</w:t>
      </w:r>
      <w:r>
        <w:t>))</w:t>
      </w:r>
      <w:r>
        <w:rPr/>
        <w:t xml:space="preserve"> or at any time a professional person determines competency has been, or is unlikely to be, restored, the </w:t>
      </w:r>
      <w:r>
        <w:rPr>
          <w:u w:val="single"/>
        </w:rPr>
        <w:t xml:space="preserve">facility shall return the</w:t>
      </w:r>
      <w:r>
        <w:rPr/>
        <w:t xml:space="preserve"> defendant </w:t>
      </w:r>
      <w:r>
        <w:t>((</w:t>
      </w:r>
      <w:r>
        <w:rPr>
          <w:strike/>
        </w:rPr>
        <w:t xml:space="preserve">shall be returned</w:t>
      </w:r>
      <w:r>
        <w:t>))</w:t>
      </w:r>
      <w:r>
        <w:rPr/>
        <w:t xml:space="preserve"> to court for a hearing</w:t>
      </w:r>
      <w:r>
        <w:t>((</w:t>
      </w:r>
      <w:r>
        <w:rPr>
          <w:strike/>
        </w:rPr>
        <w:t xml:space="preserve">.</w:t>
      </w:r>
      <w:r>
        <w:t>))</w:t>
      </w:r>
      <w:r>
        <w:rPr>
          <w:u w:val="single"/>
        </w:rPr>
        <w:t xml:space="preserve">, except that if the opinion of the professional person is that the defendant remains incompetent and the hearing is held before the expiration of the current competency restoration period, t</w:t>
      </w:r>
      <w:r>
        <w:rPr/>
        <w:t xml:space="preserve">he parties may agree to waive the defendant's presence </w:t>
      </w:r>
      <w:r>
        <w:t>((</w:t>
      </w:r>
      <w:r>
        <w:rPr>
          <w:strike/>
        </w:rPr>
        <w:t xml:space="preserve">or</w:t>
      </w:r>
      <w:r>
        <w:t>))</w:t>
      </w:r>
      <w:r>
        <w:rPr>
          <w:u w:val="single"/>
        </w:rPr>
        <w:t xml:space="preserve">,</w:t>
      </w:r>
      <w:r>
        <w:rPr/>
        <w:t xml:space="preserve"> to remote participation by the defendant at a hearing</w:t>
      </w:r>
      <w:r>
        <w:rPr>
          <w:u w:val="single"/>
        </w:rPr>
        <w:t xml:space="preserve">,</w:t>
      </w:r>
      <w:r>
        <w:rPr/>
        <w:t xml:space="preserve"> or </w:t>
      </w:r>
      <w:r>
        <w:rPr>
          <w:u w:val="single"/>
        </w:rPr>
        <w:t xml:space="preserve">to</w:t>
      </w:r>
      <w:r>
        <w:rPr/>
        <w:t xml:space="preserve"> presentation of an agreed order </w:t>
      </w:r>
      <w:r>
        <w:t>((</w:t>
      </w:r>
      <w:r>
        <w:rPr>
          <w:strike/>
        </w:rPr>
        <w:t xml:space="preserve">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w:t>
      </w:r>
      <w:r>
        <w:t>))</w:t>
      </w:r>
      <w:r>
        <w:rPr/>
        <w:t xml:space="preserve"> </w:t>
      </w:r>
      <w:r>
        <w:rPr>
          <w:u w:val="single"/>
        </w:rPr>
        <w:t xml:space="preserve">in lieu of a hearing. T</w:t>
      </w:r>
      <w:r>
        <w:rPr/>
        <w:t xml:space="preserve">he </w:t>
      </w:r>
      <w:r>
        <w:t>((</w:t>
      </w:r>
      <w:r>
        <w:rPr>
          <w:strike/>
        </w:rPr>
        <w:t xml:space="preserve">department</w:t>
      </w:r>
      <w:r>
        <w:t>))</w:t>
      </w:r>
      <w:r>
        <w:rPr/>
        <w:t xml:space="preserve"> </w:t>
      </w:r>
      <w:r>
        <w:rPr>
          <w:u w:val="single"/>
        </w:rPr>
        <w:t xml:space="preserve">facility</w:t>
      </w:r>
      <w:r>
        <w:rPr/>
        <w:t xml:space="preserve"> shall promptly notify the court and </w:t>
      </w:r>
      <w:r>
        <w:rPr>
          <w:u w:val="single"/>
        </w:rPr>
        <w:t xml:space="preserve">all</w:t>
      </w:r>
      <w:r>
        <w:rPr/>
        <w:t xml:space="preserve"> parties of the date </w:t>
      </w:r>
      <w:r>
        <w:t>((</w:t>
      </w:r>
      <w:r>
        <w:rPr>
          <w:strike/>
        </w:rPr>
        <w:t xml:space="preserve">of the defendant's admission and expiration of commitment</w:t>
      </w:r>
      <w:r>
        <w:t>))</w:t>
      </w:r>
      <w:r>
        <w:rPr/>
        <w:t xml:space="preserve"> </w:t>
      </w:r>
      <w:r>
        <w:rPr>
          <w:u w:val="single"/>
        </w:rPr>
        <w:t xml:space="preserve">on which the competency restoration period commences and expires</w:t>
      </w:r>
      <w:r>
        <w:rPr/>
        <w:t xml:space="preserve"> so that a timely hearing date may be scheduled.</w:t>
      </w:r>
    </w:p>
    <w:p>
      <w:pPr>
        <w:spacing w:before="0" w:after="0" w:line="408" w:lineRule="exact"/>
        <w:ind w:left="0" w:right="0" w:firstLine="576"/>
        <w:jc w:val="left"/>
      </w:pPr>
      <w:r>
        <w:rPr>
          <w:u w:val="single"/>
        </w:rPr>
        <w:t xml:space="preserve">(c)</w:t>
      </w:r>
      <w:r>
        <w:rPr/>
        <w:t xml:space="preserve"> If, </w:t>
      </w:r>
      <w:r>
        <w:t>((</w:t>
      </w:r>
      <w:r>
        <w:rPr>
          <w:strike/>
        </w:rPr>
        <w:t xml:space="preserve">after</w:t>
      </w:r>
      <w:r>
        <w:t>))</w:t>
      </w:r>
      <w:r>
        <w:rPr/>
        <w:t xml:space="preserve"> </w:t>
      </w:r>
      <w:r>
        <w:rPr>
          <w:u w:val="single"/>
        </w:rPr>
        <w:t xml:space="preserve">following</w:t>
      </w:r>
      <w:r>
        <w:rPr/>
        <w:t xml:space="preserve"> notice and hearing</w:t>
      </w:r>
      <w:r>
        <w:t>((</w:t>
      </w:r>
      <w:r>
        <w:rPr>
          <w:strike/>
        </w:rPr>
        <w:t xml:space="preserve">,</w:t>
      </w:r>
      <w:r>
        <w:t>))</w:t>
      </w:r>
      <w:r>
        <w:rPr/>
        <w:t xml:space="preserve"> </w:t>
      </w:r>
      <w:r>
        <w:rPr>
          <w:u w:val="single"/>
        </w:rPr>
        <w:t xml:space="preserve">or entry of an agreed order under (b) of this subsection, the court finds that</w:t>
      </w:r>
      <w:r>
        <w:rPr/>
        <w:t xml:space="preserve"> competency has been restored, </w:t>
      </w:r>
      <w:r>
        <w:rPr>
          <w:u w:val="single"/>
        </w:rPr>
        <w:t xml:space="preserve">the court shall lift</w:t>
      </w:r>
      <w:r>
        <w:rPr/>
        <w:t xml:space="preserve"> the stay entered under (a) of this subsection </w:t>
      </w:r>
      <w:r>
        <w:t>((</w:t>
      </w:r>
      <w:r>
        <w:rPr>
          <w:strike/>
        </w:rPr>
        <w:t xml:space="preserve">shall be lifted</w:t>
      </w:r>
      <w:r>
        <w:t>))</w:t>
      </w:r>
      <w:r>
        <w:rPr/>
        <w:t xml:space="preserve">. If </w:t>
      </w:r>
      <w:r>
        <w:rPr>
          <w:u w:val="single"/>
        </w:rPr>
        <w:t xml:space="preserve">the court finds that</w:t>
      </w:r>
      <w:r>
        <w:rPr/>
        <w:t xml:space="preserve"> competency has not been restored, the </w:t>
      </w:r>
      <w:r>
        <w:rPr>
          <w:u w:val="single"/>
        </w:rPr>
        <w:t xml:space="preserve">court shall dismiss the</w:t>
      </w:r>
      <w:r>
        <w:rPr/>
        <w:t xml:space="preserve"> proceedings </w:t>
      </w:r>
      <w:r>
        <w:t>((</w:t>
      </w:r>
      <w:r>
        <w:rPr>
          <w:strike/>
        </w:rPr>
        <w:t xml:space="preserve">shall be dismissed</w:t>
      </w:r>
      <w:r>
        <w:t>))</w:t>
      </w:r>
      <w:r>
        <w:rPr/>
        <w:t xml:space="preserve"> without prejudice</w:t>
      </w:r>
      <w:r>
        <w:t>((</w:t>
      </w:r>
      <w:r>
        <w:rPr>
          <w:strike/>
        </w:rPr>
        <w:t xml:space="preserve">. If the court concludes that competency has not been restored, but</w:t>
      </w:r>
      <w:r>
        <w:t>))</w:t>
      </w:r>
      <w:r>
        <w:rPr>
          <w:u w:val="single"/>
        </w:rPr>
        <w:t xml:space="preserve">, except that the court may order a further period of competency restoration treatment if it finds</w:t>
      </w:r>
      <w:r>
        <w:rPr/>
        <w:t xml:space="preserve"> that further treatment within the time limits established by RCW 10.77.086 or 10.77.088 is likely to restore competency, </w:t>
      </w:r>
      <w:r>
        <w:t>((</w:t>
      </w:r>
      <w:r>
        <w:rPr>
          <w:strike/>
        </w:rPr>
        <w:t xml:space="preserve">the court may order that treatment for purposes of competency restoration be continued. Such treatment may not extend beyond the combination of time provided for in</w:t>
      </w:r>
      <w:r>
        <w:t>))</w:t>
      </w:r>
      <w:r>
        <w:rPr/>
        <w:t xml:space="preserve"> </w:t>
      </w:r>
      <w:r>
        <w:rPr>
          <w:u w:val="single"/>
        </w:rPr>
        <w:t xml:space="preserve">and a further period of treatment is allowed under</w:t>
      </w:r>
      <w:r>
        <w:rPr/>
        <w:t xml:space="preserve"> RCW 10.77.086 or 10.77.088.</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at any time during the proceeding the court finds, following notice and hearing, a defendant is not likely to regain competency, </w:t>
      </w:r>
      <w:r>
        <w:rPr>
          <w:u w:val="single"/>
        </w:rPr>
        <w:t xml:space="preserve">the court shall dismiss</w:t>
      </w:r>
      <w:r>
        <w:rPr/>
        <w:t xml:space="preserve"> the proceedings </w:t>
      </w:r>
      <w:r>
        <w:t>((</w:t>
      </w:r>
      <w:r>
        <w:rPr>
          <w:strike/>
        </w:rPr>
        <w:t xml:space="preserve">shall be dismissed</w:t>
      </w:r>
      <w:r>
        <w:t>))</w:t>
      </w:r>
      <w:r>
        <w:rPr/>
        <w:t xml:space="preserve"> without prejudice and </w:t>
      </w:r>
      <w:r>
        <w:rPr>
          <w:u w:val="single"/>
        </w:rPr>
        <w:t xml:space="preserve">refer</w:t>
      </w:r>
      <w:r>
        <w:rPr/>
        <w:t xml:space="preserve"> the defendant </w:t>
      </w:r>
      <w:r>
        <w:t>((</w:t>
      </w:r>
      <w:r>
        <w:rPr>
          <w:strike/>
        </w:rPr>
        <w:t xml:space="preserve">shall be evaluated</w:t>
      </w:r>
      <w:r>
        <w:t>))</w:t>
      </w:r>
      <w:r>
        <w:rPr/>
        <w:t xml:space="preserve"> for civil commitment </w:t>
      </w:r>
      <w:r>
        <w:rPr>
          <w:u w:val="single"/>
        </w:rPr>
        <w:t xml:space="preserve">evaluation or</w:t>
      </w:r>
      <w:r>
        <w:rPr/>
        <w:t xml:space="preserve"> proceedings </w:t>
      </w:r>
      <w:r>
        <w:rPr>
          <w:u w:val="single"/>
        </w:rPr>
        <w:t xml:space="preserve">if appropriate under RCW 10.77.065, 10.77.086, or 10.77.088</w:t>
      </w:r>
      <w:r>
        <w:rPr/>
        <w:t xml:space="preserve">.</w:t>
      </w:r>
    </w:p>
    <w:p>
      <w:pPr>
        <w:spacing w:before="0" w:after="0" w:line="408" w:lineRule="exact"/>
        <w:ind w:left="0" w:right="0" w:firstLine="576"/>
        <w:jc w:val="left"/>
      </w:pPr>
      <w:r>
        <w:rPr/>
        <w:t xml:space="preserve">(2) If the defendant is referred for evaluation by a designated mental health professional under this chapter, the designated mental health professional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w:t>
      </w:r>
      <w:r>
        <w:rPr>
          <w:u w:val="single"/>
        </w:rPr>
        <w:t xml:space="preserve">(i)</w:t>
      </w:r>
      <w:r>
        <w:rPr/>
        <w:t xml:space="preserve">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May alternatively order the defendant to undergo evaluation and treatment at some other facility as determined by the department, or under the guidance and control of a professional person. </w:t>
      </w:r>
      <w:r>
        <w:rPr>
          <w:u w:val="single"/>
        </w:rPr>
        <w:t xml:space="preserve">The facilities may include community mental health providers or other local facilities that contract with the department and are willing and able to provide treatment under this section. </w:t>
      </w:r>
      <w:r>
        <w:rPr>
          <w:u w:val="single"/>
        </w:rPr>
        <w:t xml:space="preserve">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and must be provided as much as possible with a therapeutic environment.</w:t>
      </w:r>
    </w:p>
    <w:p>
      <w:pPr>
        <w:spacing w:before="0" w:after="0" w:line="408" w:lineRule="exact"/>
        <w:ind w:left="0" w:right="0" w:firstLine="576"/>
        <w:jc w:val="left"/>
      </w:pPr>
      <w:r>
        <w:rPr>
          <w:u w:val="single"/>
        </w:rPr>
        <w:t xml:space="preserve">(ii) The ninety day period for evaluation and treatment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u w:val="single"/>
        </w:rPr>
        <w:t xml:space="preserve">(c) If the court determines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spacing w:before="0" w:after="0" w:line="408" w:lineRule="exact"/>
        <w:ind w:left="0" w:right="0" w:firstLine="576"/>
        <w:jc w:val="left"/>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u w:val="single"/>
        </w:rPr>
        <w:t xml:space="preserve">(ii) May alternatively order the defendant to undergo evaluation and treatment at some other facility as determined by the department, or under the guidance and control of a professional person. The facilities may include community mental health providers or other local facilities that contract with the department and are willing and able to provide treatment under this section. </w:t>
      </w:r>
      <w:r>
        <w:rPr>
          <w:u w:val="single"/>
        </w:rPr>
        <w:t xml:space="preserve">During the 2015-2017 fiscal biennium, </w:t>
      </w:r>
      <w:r>
        <w:rPr>
          <w:u w:val="single"/>
        </w:rPr>
        <w:t xml:space="preserve">the department may contract with one or more cities or counties to provide competency restoration services in a city or county jail if the city or county jail is willing and able to serve as a location for competency restoration services and</w:t>
      </w:r>
      <w:r>
        <w:rPr>
          <w:u w:val="single"/>
        </w:rPr>
        <w:t xml:space="preserve">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and must be provided as much as possible with a therapeutic environment.</w:t>
      </w:r>
      <w:r>
        <w:rPr/>
        <w:t xml:space="preserve"> The placement </w:t>
      </w:r>
      <w:r>
        <w:rPr>
          <w:u w:val="single"/>
        </w:rPr>
        <w:t xml:space="preserve">under (a)(i) and (ii) of this subsection</w:t>
      </w:r>
      <w:r>
        <w:rPr/>
        <w:t xml:space="preserve">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t>((</w:t>
      </w:r>
      <w:r>
        <w:rPr>
          <w:strike/>
        </w:rPr>
        <w:t xml:space="preserve">(ii)</w:t>
      </w:r>
      <w:r>
        <w:t>))</w:t>
      </w:r>
      <w:r>
        <w:rPr/>
        <w:t xml:space="preserve"> </w:t>
      </w:r>
      <w:r>
        <w:rPr>
          <w:u w:val="single"/>
        </w:rPr>
        <w:t xml:space="preserve">(iii) May alternatively order that the defendant be placed o</w:t>
      </w:r>
      <w:r>
        <w:rPr/>
        <w:t xml:space="preserve">n conditional release for up to ninety days for mental health treatment and restoration of competency; or</w:t>
      </w:r>
    </w:p>
    <w:p>
      <w:pPr>
        <w:spacing w:before="0" w:after="0" w:line="408" w:lineRule="exact"/>
        <w:ind w:left="0" w:right="0" w:firstLine="576"/>
        <w:jc w:val="left"/>
      </w:pPr>
      <w:r>
        <w:t>((</w:t>
      </w:r>
      <w:r>
        <w:rPr>
          <w:strike/>
        </w:rPr>
        <w:t xml:space="preserve">(iii)</w:t>
      </w:r>
      <w:r>
        <w:t>))</w:t>
      </w:r>
      <w:r>
        <w:rPr/>
        <w:t xml:space="preserve"> </w:t>
      </w:r>
      <w:r>
        <w:rPr>
          <w:u w:val="single"/>
        </w:rPr>
        <w:t xml:space="preserve">(iv) May order a</w:t>
      </w:r>
      <w:r>
        <w:rPr/>
        <w:t xml:space="preserve">ny combination of this subsection.</w:t>
      </w:r>
    </w:p>
    <w:p>
      <w:pPr>
        <w:spacing w:before="0" w:after="0" w:line="408" w:lineRule="exact"/>
        <w:ind w:left="0" w:right="0" w:firstLine="576"/>
        <w:jc w:val="left"/>
      </w:pPr>
      <w:r>
        <w:rPr/>
        <w:t xml:space="preserve">(b) </w:t>
      </w:r>
      <w:r>
        <w:rPr>
          <w:u w:val="single"/>
        </w:rPr>
        <w:t xml:space="preserve">If the court has determined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091</w:t>
      </w:r>
      <w:r>
        <w:rPr/>
        <w:t xml:space="preserve"> and 2010 c 263 s 2 are each amended to read as follows:</w:t>
      </w:r>
    </w:p>
    <w:p>
      <w:pPr>
        <w:spacing w:before="0" w:after="0" w:line="408" w:lineRule="exact"/>
        <w:ind w:left="0" w:right="0" w:firstLine="576"/>
        <w:jc w:val="left"/>
      </w:pPr>
      <w:r>
        <w:rPr/>
        <w:t xml:space="preserve">(1) If the secretary determines in writing that a person committed to the custody of the secretary for treatment as criminally insane presents an unreasonable safety risk which, based on behavior, clinical history, and facility security is not manageable in a state hospital setting, the secretary may place the person in any secure facility operated by the secretary or the secretary of the department of corrections. Any person affected by this provision shall receive appropriate mental health treatment governed by a formalized treatment plan targeted at mental health rehabilitation needs and shall be afforded his or her rights under RCW 10.77.140, 10.77.150, and 10.77.200. The secretary of the department of social and health services shall retain legal custody of any person placed under this section and review any placement outside of a department mental health hospital every three months, or sooner if warranted by the person's mental health status, to determine if the placement remains appropriate.</w:t>
      </w:r>
    </w:p>
    <w:p>
      <w:pPr>
        <w:spacing w:before="0" w:after="0" w:line="408" w:lineRule="exact"/>
        <w:ind w:left="0" w:right="0" w:firstLine="576"/>
        <w:jc w:val="left"/>
      </w:pPr>
      <w:r>
        <w:rPr/>
        <w:t xml:space="preserve">(2) Beginning December 1, 2010, and every six months thereafter, the secretary shall report to the governor and the appropriate committees of the legislature regarding the use of the authority under this section to transfer persons to a secure facility. The report shall include information related to the number of persons who have been placed in a secure facility operated by the secretary or the secretary of the department of corrections, and the length of time that each such person has been in the secure facility.</w:t>
      </w:r>
    </w:p>
    <w:p>
      <w:pPr>
        <w:spacing w:before="0" w:after="0" w:line="408" w:lineRule="exact"/>
        <w:ind w:left="0" w:right="0" w:firstLine="576"/>
        <w:jc w:val="left"/>
      </w:pPr>
      <w:r>
        <w:t>((</w:t>
      </w:r>
      <w:r>
        <w:rPr>
          <w:strike/>
        </w:rPr>
        <w:t xml:space="preserve">(3) This section expires June 30,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w:t>
      </w:r>
      <w:r>
        <w:t>((</w:t>
      </w:r>
      <w:r>
        <w:rPr>
          <w:strike/>
        </w:rPr>
        <w:t xml:space="preserve">: PROVIDED, That nothing herein shall prohibit</w:t>
      </w:r>
      <w:r>
        <w:t>))</w:t>
      </w:r>
      <w:r>
        <w:rPr>
          <w:u w:val="single"/>
        </w:rPr>
        <w:t xml:space="preserve">. This section does not apply to</w:t>
      </w:r>
      <w:r>
        <w:rPr/>
        <w:t xml:space="preserve">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If the defendant is charged with a nonfelony offense, and the issue of competency to stand trial is raised by the court or a party under RCW 10.77.060, the prosecutor may continue with the competency process or dismiss the charges without prejudice and refer the defendant for assessment by a mental health professional, chemical dependency professional,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serious violent offense or sex offense as defined in RCW 9.94A.030.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on at least the level of deputy assistant secretary within the department who shall, after a reasonable period of transition, have responsibility for the following functions:</w:t>
      </w:r>
    </w:p>
    <w:p>
      <w:pPr>
        <w:spacing w:before="0" w:after="0" w:line="408" w:lineRule="exact"/>
        <w:ind w:left="0" w:right="0" w:firstLine="576"/>
        <w:jc w:val="left"/>
      </w:pPr>
      <w:r>
        <w:rPr/>
        <w:t xml:space="preserve">(a) Operational control of all forensic evaluation services, including specific budget allocation;</w:t>
      </w:r>
    </w:p>
    <w:p>
      <w:pPr>
        <w:spacing w:before="0" w:after="0" w:line="408" w:lineRule="exact"/>
        <w:ind w:left="0" w:right="0" w:firstLine="576"/>
        <w:jc w:val="left"/>
      </w:pPr>
      <w:r>
        <w:rPr/>
        <w:t xml:space="preserve">(b) Responsibility for training forensic evaluators;</w:t>
      </w:r>
    </w:p>
    <w:p>
      <w:pPr>
        <w:spacing w:before="0" w:after="0" w:line="408" w:lineRule="exact"/>
        <w:ind w:left="0" w:right="0" w:firstLine="576"/>
        <w:jc w:val="left"/>
      </w:pPr>
      <w:r>
        <w:rPr/>
        <w:t xml:space="preserve">(c) Development of a system to certify forensic evaluators, and to monitor the quality of forensic evaluation reports;</w:t>
      </w:r>
    </w:p>
    <w:p>
      <w:pPr>
        <w:spacing w:before="0" w:after="0" w:line="408" w:lineRule="exact"/>
        <w:ind w:left="0" w:right="0" w:firstLine="576"/>
        <w:jc w:val="left"/>
      </w:pPr>
      <w:r>
        <w:rPr/>
        <w:t xml:space="preserve">(d) Liaison with courts, jails, and community mental health programs to ensure proper flow of information, coordinate logistical issues, and solve problems in complex circumstances;</w:t>
      </w:r>
    </w:p>
    <w:p>
      <w:pPr>
        <w:spacing w:before="0" w:after="0" w:line="408" w:lineRule="exact"/>
        <w:ind w:left="0" w:right="0" w:firstLine="576"/>
        <w:jc w:val="left"/>
      </w:pPr>
      <w:r>
        <w:rPr/>
        <w:t xml:space="preserve">(e) Coordination with state hospitals to identify and develop best practice interventions and curricula for services that are unique to forensic patients;</w:t>
      </w:r>
    </w:p>
    <w:p>
      <w:pPr>
        <w:spacing w:before="0" w:after="0" w:line="408" w:lineRule="exact"/>
        <w:ind w:left="0" w:right="0" w:firstLine="576"/>
        <w:jc w:val="left"/>
      </w:pPr>
      <w:r>
        <w:rPr/>
        <w:t xml:space="preserve">(f) Promotion of congruence across state hospitals where appropriate, and promotion of interventions that flow smoothly into community interventions;</w:t>
      </w:r>
    </w:p>
    <w:p>
      <w:pPr>
        <w:spacing w:before="0" w:after="0" w:line="408" w:lineRule="exact"/>
        <w:ind w:left="0" w:right="0" w:firstLine="576"/>
        <w:jc w:val="left"/>
      </w:pPr>
      <w:r>
        <w:rPr/>
        <w:t xml:space="preserve">(g) Coordination with regional support networks, behavioral health organizations, community mental health agencies, and the department of corrections regarding community treatment and monitoring of persons on conditional release;</w:t>
      </w:r>
    </w:p>
    <w:p>
      <w:pPr>
        <w:spacing w:before="0" w:after="0" w:line="408" w:lineRule="exact"/>
        <w:ind w:left="0" w:right="0" w:firstLine="576"/>
        <w:jc w:val="left"/>
      </w:pPr>
      <w:r>
        <w:rPr/>
        <w:t xml:space="preserve">(h) Oversight of forensic data collection and analysis statewide, and appropriate dissemination of data trends and recommendations; and</w:t>
      </w:r>
    </w:p>
    <w:p>
      <w:pPr>
        <w:spacing w:before="0" w:after="0" w:line="408" w:lineRule="exact"/>
        <w:ind w:left="0" w:right="0" w:firstLine="576"/>
        <w:jc w:val="left"/>
      </w:pPr>
      <w:r>
        <w:rPr/>
        <w:t xml:space="preserve">(i) Oversight of the development, implementation, and maintenance of community forensic programs and services.</w:t>
      </w:r>
    </w:p>
    <w:p>
      <w:pPr>
        <w:spacing w:before="0" w:after="0" w:line="408" w:lineRule="exact"/>
        <w:ind w:left="0" w:right="0" w:firstLine="576"/>
        <w:jc w:val="left"/>
      </w:pPr>
      <w:r>
        <w:rPr/>
        <w:t xml:space="preserve">(2) The office of forensic mental health services must have a clearly delineated budget separate from the overall budget for state hospital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April 1, 2016.</w:t>
      </w:r>
      <w:r>
        <w:rPr/>
        <w:t xml:space="preserve">"</w:t>
      </w:r>
    </w:p>
    <w:p>
      <w:pPr>
        <w:spacing w:before="480" w:after="0" w:line="408" w:lineRule="exact"/>
      </w:pPr>
      <w:r>
        <w:rPr>
          <w:b/>
          <w:u w:val="single"/>
        </w:rPr>
        <w:t xml:space="preserve">2SSB 5177</w:t>
      </w:r>
      <w:r>
        <w:t xml:space="preserve"> -</w:t>
      </w:r>
      <w:r>
        <w:t xml:space="preserve"> </w:t>
        <w:t xml:space="preserve">S AMD</w:t>
      </w:r>
      <w:r>
        <w:t xml:space="preserve"> </w:t>
      </w:r>
      <w:r>
        <w:rPr>
          <w:b/>
        </w:rPr>
        <w:t xml:space="preserve">96</w:t>
      </w:r>
    </w:p>
    <w:p>
      <w:pPr>
        <w:spacing w:before="0" w:after="0" w:line="408" w:lineRule="exact"/>
        <w:ind w:left="0" w:right="0" w:firstLine="576"/>
        <w:jc w:val="left"/>
      </w:pPr>
      <w:r>
        <w:rPr/>
        <w:t xml:space="preserve">By Senators O'Ban, Darneille</w:t>
      </w:r>
    </w:p>
    <w:p>
      <w:pPr>
        <w:jc w:val="right"/>
      </w:pPr>
      <w:r>
        <w:rPr>
          <w:b/>
        </w:rPr>
        <w:t xml:space="preserve">ADOPTED 3/4/2015</w:t>
      </w:r>
    </w:p>
    <w:p>
      <w:pPr>
        <w:spacing w:before="0" w:after="0" w:line="408" w:lineRule="exact"/>
        <w:ind w:left="0" w:right="0" w:firstLine="576"/>
        <w:jc w:val="left"/>
      </w:pPr>
      <w:r>
        <w:rPr/>
        <w:t xml:space="preserve">On page 1, line 1 of the title, after "Relating to" strike the remainder of the title and insert "improving timeliness of competency evaluation and restoration services; amending RCW 10.77.084, 10.77.086, 10.77.088, 10.77.091, 10.77.220, 71.05.235, and 10.77.065; reenacting and amending RCW 10.77.065; adding new sections to chapter 10.77 RCW; creating a new section; providing an effective date; and providing an expiration date."</w:t>
      </w:r>
    </w:p>
    <w:p>
      <w:pPr>
        <w:spacing w:before="0" w:after="0" w:line="408" w:lineRule="exact"/>
        <w:ind w:left="0" w:right="0" w:firstLine="576"/>
        <w:jc w:val="left"/>
      </w:pPr>
      <w:r>
        <w:rPr>
          <w:u w:val="single"/>
        </w:rPr>
        <w:t xml:space="preserve">EFFECT:</w:t>
      </w:r>
      <w:r>
        <w:rPr/>
        <w:t xml:space="preserve"> Adds the provisions of SB 5266 (removing expiration date from DSHS authority to place a criminal insanity patient who presents an unreasonable safety risk in a DOC facility for treatment), SB 5792 (establishing an Office of Forensic Mental Health Services within DSHS), and SSB 5925 (allowing prosecutors to dismiss nonfelony charges after competency to stand trial is raised and refer defendant for assessment for services). Amends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58634f137444ba" /></Relationships>
</file>