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c4d467cf7e4398" /></Relationships>
</file>

<file path=word/document.xml><?xml version="1.0" encoding="utf-8"?>
<w:document xmlns:w="http://schemas.openxmlformats.org/wordprocessingml/2006/main">
  <w:body>
    <w:p>
      <w:r>
        <w:rPr>
          <w:b/>
        </w:rPr>
        <w:r>
          <w:rPr/>
          <w:t xml:space="preserve">5153</w:t>
        </w:r>
      </w:r>
      <w:r>
        <w:rPr>
          <w:b/>
        </w:rPr>
        <w:t xml:space="preserve"> </w:t>
        <w:t xml:space="preserve">AMS</w:t>
      </w:r>
      <w:r>
        <w:rPr>
          <w:b/>
        </w:rPr>
        <w:t xml:space="preserve"> </w:t>
        <w:r>
          <w:rPr/>
          <w:t xml:space="preserve">FAIN</w:t>
        </w:r>
      </w:r>
      <w:r>
        <w:rPr>
          <w:b/>
        </w:rPr>
        <w:t xml:space="preserve"> </w:t>
        <w:r>
          <w:rPr/>
          <w:t xml:space="preserve">S2539.2</w:t>
        </w:r>
      </w:r>
      <w:r>
        <w:rPr>
          <w:b/>
        </w:rPr>
        <w:t xml:space="preserve"> - NOT FOR FLOOR USE</w:t>
      </w:r>
    </w:p>
    <w:p>
      <w:pPr>
        <w:spacing w:before="480" w:after="0" w:line="408" w:lineRule="exact"/>
      </w:pPr>
      <w:r>
        <w:rPr>
          <w:b/>
          <w:u w:val="single"/>
        </w:rPr>
        <w:t xml:space="preserve">SB 5153</w:t>
      </w:r>
      <w:r>
        <w:t xml:space="preserve"> -</w:t>
      </w:r>
      <w:r>
        <w:t xml:space="preserve"> </w:t>
        <w:t xml:space="preserve">S AMD</w:t>
      </w:r>
      <w:r>
        <w:t xml:space="preserve"> </w:t>
      </w:r>
      <w:r>
        <w:rPr>
          <w:b/>
        </w:rPr>
        <w:t xml:space="preserve">229</w:t>
      </w:r>
    </w:p>
    <w:p>
      <w:pPr>
        <w:spacing w:before="0" w:after="0" w:line="408" w:lineRule="exact"/>
        <w:ind w:left="0" w:right="0" w:firstLine="576"/>
        <w:jc w:val="left"/>
      </w:pPr>
      <w:r>
        <w:rPr/>
        <w:t xml:space="preserve">By Senators Fain, Billig</w:t>
      </w:r>
    </w:p>
    <w:p>
      <w:pPr>
        <w:jc w:val="right"/>
      </w:pPr>
      <w:r>
        <w:rPr>
          <w:b/>
        </w:rPr>
        <w:t xml:space="preserve">ADOPTED AS AMENDED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w:t>
      </w:r>
      <w:r>
        <w:t>((</w:t>
      </w:r>
      <w:r>
        <w:rPr>
          <w:strike/>
        </w:rPr>
        <w:t xml:space="preserve">shall</w:t>
      </w:r>
      <w:r>
        <w:t>))</w:t>
      </w:r>
      <w:r>
        <w:rPr/>
        <w:t xml:space="preserve"> </w:t>
      </w:r>
      <w:r>
        <w:rPr>
          <w:u w:val="single"/>
        </w:rPr>
        <w:t xml:space="preserve">does</w:t>
      </w:r>
      <w:r>
        <w:rPr/>
        <w:t xml:space="preserve">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(b) "Incidental committee" does not include any organization registered under section 527 of the internal revenue code of 1986 that files disclosure reports with the public disclosure commission, disclosure reports with the federal elections commission, or public quarterly filings with the internal revenue service.</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w:t>
      </w:r>
      <w:r>
        <w:rPr>
          <w:u w:val="single"/>
        </w:rPr>
        <w:t xml:space="preserve">, organized or located inside or outside the state,</w:t>
      </w:r>
      <w:r>
        <w:rPr/>
        <w:t xml:space="preserve"> having the expectation of receiving contributions or making expenditures in support of, or opposition to, any candidate or any ballot proposition </w:t>
      </w:r>
      <w:r>
        <w:rPr>
          <w:u w:val="single"/>
        </w:rPr>
        <w:t xml:space="preserve">in Washington</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commission shall provide a link on its web site to a searchable database on the web site of the federal election commission containing information on organizations under section 527 of the internal revenue code of 1986.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of at least twenty-five thousand dollars in a calendar year in any election campaign, or to a political committee; and </w:t>
      </w:r>
    </w:p>
    <w:p>
      <w:pPr>
        <w:spacing w:before="0" w:after="0" w:line="408" w:lineRule="exact"/>
        <w:ind w:left="0" w:right="0" w:firstLine="576"/>
        <w:jc w:val="left"/>
      </w:pPr>
      <w:r>
        <w:rPr/>
        <w:t xml:space="preserve">(ii) Must disclose a contribution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shall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w:t>
      </w:r>
      <w:r>
        <w:rPr>
          <w:u w:val="single"/>
        </w:rPr>
        <w:t xml:space="preserve">, except for incidental committees,</w:t>
      </w:r>
      <w:r>
        <w:rPr/>
        <w:t xml:space="preserv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the ten largest aggregate contributions received in the current calendar year from a single person of ten thousand dollars or greater, including any persons tied as the tenth largest source of funds, if any, and all aggregate contributions received in the current calendar year from a single person of one hundred thousand dollars or greater.</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section 4 of this act</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 </w:t>
      </w:r>
      <w:r>
        <w:rPr>
          <w:u w:val="single"/>
        </w:rPr>
        <w:t xml:space="preserve">An incidental committee must file the report required by this subsection (2) only if there has been a change in its ten largest contributors over ten thousand dollars during the current calendar year, including any persons tied as the tenth largest contributor, or if a person not previously listed in a report required under this subsection (2) has contributed one hundred thousand dollars or more in aggregate to the incidental committee during the calendar year.</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2015,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Funds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funds, including any persons tied as the tenth largest source of funds, during the current calendar year, and the aggregate funds received from that person during the current calendar year are ten thousand dollars or greater; or</w:t>
      </w:r>
    </w:p>
    <w:p>
      <w:pPr>
        <w:spacing w:before="0" w:after="0" w:line="408" w:lineRule="exact"/>
        <w:ind w:left="0" w:right="0" w:firstLine="576"/>
        <w:jc w:val="left"/>
      </w:pPr>
      <w:r>
        <w:rPr>
          <w:u w:val="single"/>
        </w:rPr>
        <w:t xml:space="preserve">(ii) The person contributed one hundred thousand dollars or more to the incidental committee during the current calendar year;</w:t>
      </w:r>
    </w:p>
    <w:p>
      <w:pPr>
        <w:spacing w:before="0" w:after="0" w:line="408" w:lineRule="exact"/>
        <w:ind w:left="0" w:right="0" w:firstLine="576"/>
        <w:jc w:val="left"/>
      </w:pPr>
      <w:r>
        <w:rPr>
          <w:u w:val="single"/>
        </w:rPr>
        <w:t xml:space="preserve">(e) The commission may suspend or modify reporting requirements for contributions to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t xml:space="preserve"> </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dark money elimination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SB 5153</w:t>
      </w:r>
      <w:r>
        <w:t xml:space="preserve"> -</w:t>
      </w:r>
      <w:r>
        <w:t xml:space="preserve"> </w:t>
        <w:t xml:space="preserve">S AMD</w:t>
      </w:r>
      <w:r>
        <w:t xml:space="preserve"> </w:t>
      </w:r>
      <w:r>
        <w:rPr>
          <w:b/>
        </w:rPr>
        <w:t xml:space="preserve">229</w:t>
      </w:r>
    </w:p>
    <w:p>
      <w:pPr>
        <w:spacing w:before="0" w:after="0" w:line="408" w:lineRule="exact"/>
        <w:ind w:left="0" w:right="0" w:firstLine="576"/>
        <w:jc w:val="left"/>
      </w:pPr>
      <w:r>
        <w:rPr/>
        <w:t xml:space="preserve">By Senators Fain, Billig</w:t>
      </w:r>
    </w:p>
    <w:p>
      <w:pPr>
        <w:jc w:val="right"/>
      </w:pPr>
      <w:r>
        <w:rPr>
          <w:b/>
        </w:rPr>
        <w:t xml:space="preserve">ADOPTED AS AMENDED 3/11/2015</w:t>
      </w:r>
    </w:p>
    <w:p>
      <w:pPr>
        <w:spacing w:before="0" w:after="0" w:line="408" w:lineRule="exact"/>
        <w:ind w:left="0" w:right="0" w:firstLine="576"/>
        <w:jc w:val="left"/>
      </w:pPr>
      <w:r>
        <w:rPr/>
        <w:t xml:space="preserve">On page 1, line 2 of the title, after "contributions;" strike the remainder of the title and insert "amending RCW 42.17A.235, 42.17A.240, and 42.17A.250; reenacting and amending RCW 42.17A.005; adding new sections to chapter 42.17A RCW; and creating new sections."</w:t>
      </w:r>
    </w:p>
    <w:p>
      <w:pPr>
        <w:spacing w:before="0" w:after="0" w:line="408" w:lineRule="exact"/>
        <w:ind w:left="0" w:right="0" w:firstLine="576"/>
        <w:jc w:val="left"/>
      </w:pPr>
      <w:r>
        <w:rPr>
          <w:u w:val="single"/>
        </w:rPr>
        <w:t xml:space="preserve">EFFECT:</w:t>
      </w:r>
      <w:r>
        <w:rPr/>
        <w:t xml:space="preserve"> (1) Requires that an organization be a nonprofit organization, other than a registered 527 nonprofit that files disclosure reports with the PDC, disclosure reports with the FEC, or public quarterly filings with the IRS, to be considered an incidental committee.</w:t>
      </w:r>
    </w:p>
    <w:p>
      <w:pPr>
        <w:spacing w:before="0" w:after="0" w:line="408" w:lineRule="exact"/>
        <w:ind w:left="0" w:right="0" w:firstLine="576"/>
        <w:jc w:val="left"/>
      </w:pPr>
      <w:r>
        <w:rPr/>
        <w:t xml:space="preserve">(2) Requires that the PDC provide a link to a searchable database on the Federal Election Commission web site containing the filings of 527 organizations.</w:t>
      </w:r>
    </w:p>
    <w:p>
      <w:pPr>
        <w:spacing w:before="0" w:after="0" w:line="408" w:lineRule="exact"/>
        <w:ind w:left="0" w:right="0" w:firstLine="576"/>
        <w:jc w:val="left"/>
      </w:pPr>
      <w:r>
        <w:rPr/>
        <w:t xml:space="preserve">(3) Requires incidental committees to file a statement of organization and periodic reports with the PDC only after contributing or expending $25,000 in an election campaign or to a political committee and receiving a reportable contribution.</w:t>
      </w:r>
    </w:p>
    <w:p>
      <w:pPr>
        <w:spacing w:before="0" w:after="0" w:line="408" w:lineRule="exact"/>
        <w:ind w:left="0" w:right="0" w:firstLine="576"/>
        <w:jc w:val="left"/>
      </w:pPr>
      <w:r>
        <w:rPr/>
        <w:t xml:space="preserve">(4) Provides that the statement of organization filed by an incidental committee with the PDC only include: Name and address of the committee, its officers, its treasurer and depository, and affiliated persons or committees; names of candidates supported or opposed; ballot measures supported or opposed; and any other information prescribed by the PDC in keeping with the policies and purposes of chapter 42.17A RCW.</w:t>
      </w:r>
    </w:p>
    <w:p>
      <w:pPr>
        <w:spacing w:before="0" w:after="0" w:line="408" w:lineRule="exact"/>
        <w:ind w:left="0" w:right="0" w:firstLine="576"/>
        <w:jc w:val="left"/>
      </w:pPr>
      <w:r>
        <w:rPr/>
        <w:t xml:space="preserve">(5) Modifies the reporting threshold for contributions to incidental committees to require reporting of all aggregate contributions from a single donor of at least $100,000 in a calendar year and the top ten sources of funds, including all persons tied for tenth, of at least $10,000 in the calendar year.</w:t>
      </w:r>
    </w:p>
    <w:p>
      <w:pPr>
        <w:spacing w:before="0" w:after="0" w:line="408" w:lineRule="exact"/>
        <w:ind w:left="0" w:right="0" w:firstLine="576"/>
        <w:jc w:val="left"/>
      </w:pPr>
      <w:r>
        <w:rPr/>
        <w:t xml:space="preserve">(6) Provides that an incidental committee need only file a monthly contribution and expenditure report if it has received a reportable contribution.</w:t>
      </w:r>
    </w:p>
    <w:p>
      <w:pPr>
        <w:spacing w:before="0" w:after="0" w:line="408" w:lineRule="exact"/>
        <w:ind w:left="0" w:right="0" w:firstLine="576"/>
        <w:jc w:val="left"/>
      </w:pPr>
      <w:r>
        <w:rPr/>
        <w:t xml:space="preserve">(7) Requires that an incidental committee disclose all reportable contributions and received prior to filing its statement of organization.</w:t>
      </w:r>
    </w:p>
    <w:p>
      <w:pPr>
        <w:spacing w:before="0" w:after="0" w:line="408" w:lineRule="exact"/>
        <w:ind w:left="0" w:right="0" w:firstLine="576"/>
        <w:jc w:val="left"/>
      </w:pPr>
      <w:r>
        <w:rPr/>
        <w:t xml:space="preserve">(8) Removes authorization for the PDC to biannually modify, based on inflation, the threshold at which contributions to an incidental committee must be reported.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86a33f4e2746d9" /></Relationships>
</file>