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8fd46fab041c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RANK</w:t>
        </w:r>
      </w:r>
      <w:r>
        <w:rPr>
          <w:b/>
        </w:rPr>
        <w:t xml:space="preserve"> </w:t>
        <w:r>
          <w:rPr/>
          <w:t xml:space="preserve">S1408.1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Ranker</w:t>
      </w:r>
    </w:p>
    <w:p>
      <w:pPr>
        <w:jc w:val="right"/>
      </w:pPr>
      <w:r>
        <w:rPr>
          <w:b/>
        </w:rPr>
        <w:t xml:space="preserve">NOT 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29, after "development" insert "</w:t>
      </w:r>
      <w:r>
        <w:rPr>
          <w:u w:val="single"/>
        </w:rPr>
        <w:t xml:space="preserve">, provided such projects do not conflict with RCW 90.71.300 and 70.235.020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private development project in specified categories may not be considered a project of statewide significance where the project conflicts with the goals and objectives of the Puget Sound Action Agenda and the state's greenhouse gas emission reduction targets.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6fe7476594d4a" /></Relationships>
</file>