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7c1e9c2aec41d3"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ROLF</w:t>
        </w:r>
      </w:r>
      <w:r>
        <w:rPr>
          <w:b/>
        </w:rPr>
        <w:t xml:space="preserve"> </w:t>
        <w:r>
          <w:rPr/>
          <w:t xml:space="preserve">S2463.1</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203</w:t>
      </w:r>
    </w:p>
    <w:p>
      <w:pPr>
        <w:spacing w:before="0" w:after="0" w:line="408" w:lineRule="exact"/>
        <w:ind w:left="0" w:right="0" w:firstLine="576"/>
        <w:jc w:val="left"/>
      </w:pPr>
      <w:r>
        <w:rPr/>
        <w:t xml:space="preserve">By Senator Rolfes</w:t>
      </w:r>
    </w:p>
    <w:p>
      <w:pPr>
        <w:jc w:val="right"/>
      </w:pPr>
      <w:r>
        <w:rPr>
          <w:b/>
        </w:rPr>
        <w:t xml:space="preserve">NOT ADOPTED 3/9/2015</w:t>
      </w:r>
    </w:p>
    <w:p>
      <w:pPr>
        <w:spacing w:before="0" w:after="0" w:line="408" w:lineRule="exact"/>
        <w:ind w:left="0" w:right="0" w:firstLine="576"/>
        <w:jc w:val="left"/>
      </w:pPr>
      <w:r>
        <w:rPr/>
        <w:t xml:space="preserve">On page 16, after line 16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 be piloted by highly skilled persons who are familiar with local waters and that such </w:t>
      </w:r>
      <w:r>
        <w:t>((</w:t>
      </w:r>
      <w:r>
        <w:rPr>
          <w:strike/>
        </w:rPr>
        <w:t xml:space="preserve">tankers</w:t>
      </w:r>
      <w:r>
        <w:t>))</w:t>
      </w:r>
      <w:r>
        <w:rPr/>
        <w:t xml:space="preserve"> </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w:t>
      </w:r>
      <w:r>
        <w:t>((</w:t>
      </w:r>
      <w:r>
        <w:rPr>
          <w:strike/>
        </w:rPr>
        <w:t xml:space="preserve">requiring all oil tankers above a certain size to employ licensed pilots and to be escorted by a tug or tugs  while navigating on certain areas of Puget Sound and adjacent waters</w:t>
      </w:r>
      <w:r>
        <w:t>))</w:t>
      </w:r>
      <w:r>
        <w:rPr/>
        <w:t xml:space="preserve"> </w:t>
      </w:r>
      <w:r>
        <w:rPr>
          <w:u w:val="single"/>
        </w:rPr>
        <w:t xml:space="preserve">establishing safety requirements that comprehensively address spill risks, which may include the establishment of tug escorts and other measures to mitigate safety risks in certain state waters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Except as provided in subsection (2)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state board of pilotage commissioners, in consultation with the department of ecology and relying on the results of vessel traffic risk assessments, may write rules to implement this subsection (1)(b). These rules may include tug escort requirements and other safety measures for oil tankers of greater than forty thousand deadweight tons, all articulated tug barges, and other towed waterborne vessels or barges that may apply in the following areas consistent with subsections (2)(a) and (4)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Any inland portion of the Columbia river or within three miles of Cape Disappointment at the mouth of the Columbia river; or</w:t>
      </w:r>
    </w:p>
    <w:p>
      <w:pPr>
        <w:spacing w:before="0" w:after="0" w:line="408" w:lineRule="exact"/>
        <w:ind w:left="0" w:right="0" w:firstLine="576"/>
        <w:jc w:val="left"/>
      </w:pPr>
      <w:r>
        <w:rPr>
          <w:u w:val="single"/>
        </w:rPr>
        <w:t xml:space="preserve">(iii) The waters identified in (a) of this subsection.</w:t>
      </w:r>
    </w:p>
    <w:p>
      <w:pPr>
        <w:spacing w:before="0" w:after="0" w:line="408" w:lineRule="exact"/>
        <w:ind w:left="0" w:right="0" w:firstLine="576"/>
        <w:jc w:val="left"/>
      </w:pPr>
      <w:r>
        <w:rPr>
          <w:u w:val="single"/>
        </w:rPr>
        <w:t xml:space="preserve">(c) The state board of pilotage commissioners, in consultation with the department of ecology and relying on the results of vessel traffic risk assessments, shall adopt rules by June 30, 2017, to implement this subsection (1)(c). These rules may include tug escort requirements and other safety measures for oil tankers of greater than forty thousand deadweight tons, all articulated tug barges, and other towed waterborne vessels or barges and apply in the following areas consistent with subsections (2)(a) and (4) of this section: All narrow channels of the San Juan Islands archipelago, including Rosario Strait, Haro Strait, Boundary Pass, and connected waterways.</w:t>
      </w:r>
    </w:p>
    <w:p>
      <w:pPr>
        <w:spacing w:before="0" w:after="0" w:line="408" w:lineRule="exact"/>
        <w:ind w:left="0" w:right="0" w:firstLine="576"/>
        <w:jc w:val="left"/>
      </w:pPr>
      <w:r>
        <w:rPr>
          <w:u w:val="single"/>
        </w:rPr>
        <w:t xml:space="preserve">(2)(a)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(3)(a) Prior to proceeding with rule making as authorized under subsection (1)(b) and (c) of this section, the commission shall consult with the United States coast guard, the Oregon board of maritime pilots, the Puget Sound, Grays Harbor, and Columbia river harbor safety committees, area tribes, public ports in Oregon and Washington, local governments, and other appropriate entities.</w:t>
      </w:r>
    </w:p>
    <w:p>
      <w:pPr>
        <w:spacing w:before="0" w:after="0" w:line="408" w:lineRule="exact"/>
        <w:ind w:left="0" w:right="0" w:firstLine="576"/>
        <w:jc w:val="left"/>
      </w:pPr>
      <w:r>
        <w:rPr>
          <w:u w:val="single"/>
        </w:rPr>
        <w:t xml:space="preserve">(b) The department may not adopt any rules under this subsection or under subsection (1)(b) and (c) of this section until a vessel traffic risk assessment has been completed for the waters subject to the rule making. In order to adopt a rule under this section or subsection (1)(b) and (c) of this section, the board of pilotage commissioners must determine that the results of a vessel traffic risk assessment provides evidence that the rules are necessary in order to achieve best achievable protection as defined in RCW 88.46.010.</w:t>
      </w:r>
    </w:p>
    <w:p>
      <w:pPr>
        <w:spacing w:before="0" w:after="0" w:line="408" w:lineRule="exact"/>
        <w:ind w:left="0" w:right="0" w:firstLine="576"/>
        <w:jc w:val="left"/>
      </w:pPr>
      <w:r>
        <w:rPr>
          <w:u w:val="single"/>
        </w:rPr>
        <w:t xml:space="preserve">(4)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state board of pilotage commissioners may adopt rules to ensure that escort tugs have sufficient mechanical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(5)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(6) The provisions of this section do not apply to pilotage for enrolled tankers.</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203</w:t>
      </w:r>
    </w:p>
    <w:p>
      <w:pPr>
        <w:spacing w:before="0" w:after="0" w:line="408" w:lineRule="exact"/>
        <w:ind w:left="0" w:right="0" w:firstLine="576"/>
        <w:jc w:val="left"/>
      </w:pPr>
      <w:r>
        <w:rPr/>
        <w:t xml:space="preserve">By Senator Rolfes</w:t>
      </w:r>
    </w:p>
    <w:p>
      <w:pPr>
        <w:jc w:val="right"/>
      </w:pPr>
      <w:r>
        <w:rPr>
          <w:b/>
        </w:rPr>
        <w:t xml:space="preserve">NOT ADOPTED 3/9/2015</w:t>
      </w:r>
    </w:p>
    <w:p>
      <w:pPr>
        <w:spacing w:before="0" w:after="0" w:line="408" w:lineRule="exact"/>
        <w:ind w:left="0" w:right="0" w:firstLine="576"/>
        <w:jc w:val="left"/>
      </w:pPr>
      <w:r>
        <w:rPr/>
        <w:t xml:space="preserve">On page 24, line 32 of the title amendment, after "90.56.010," insert "88.16.170, 88.16.190,"</w:t>
      </w:r>
    </w:p>
    <w:p>
      <w:pPr>
        <w:spacing w:before="0" w:after="0" w:line="408" w:lineRule="exact"/>
        <w:ind w:left="0" w:right="0" w:firstLine="576"/>
        <w:jc w:val="left"/>
      </w:pPr>
      <w:r>
        <w:rPr>
          <w:u w:val="single"/>
        </w:rPr>
        <w:t xml:space="preserve">EFFECT:</w:t>
      </w:r>
      <w:r>
        <w:rPr/>
        <w:t xml:space="preserve"> Authorizes the pilotage commission to write rules for tug escorts for oil-laden vessels in Puget Sound, Grays Harbor, and the Columbia river.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b7cbb7baa346dd" /></Relationships>
</file>