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13b41676e34429" /></Relationships>
</file>

<file path=word/document.xml><?xml version="1.0" encoding="utf-8"?>
<w:document xmlns:w="http://schemas.openxmlformats.org/wordprocessingml/2006/main">
  <w:body>
    <w:p>
      <w:r>
        <w:rPr>
          <w:b/>
        </w:rPr>
        <w:r>
          <w:rPr/>
          <w:t xml:space="preserve">2700-S.E</w:t>
        </w:r>
      </w:r>
      <w:r>
        <w:rPr>
          <w:b/>
        </w:rPr>
        <w:t xml:space="preserve"> </w:t>
        <w:t xml:space="preserve">AMS</w:t>
      </w:r>
      <w:r>
        <w:rPr>
          <w:b/>
        </w:rPr>
        <w:t xml:space="preserve"> </w:t>
        <w:r>
          <w:rPr/>
          <w:t xml:space="preserve">TRAN</w:t>
        </w:r>
      </w:r>
      <w:r>
        <w:rPr>
          <w:b/>
        </w:rPr>
        <w:t xml:space="preserve"> </w:t>
        <w:r>
          <w:rPr/>
          <w:t xml:space="preserve">S4994.1</w:t>
        </w:r>
      </w:r>
      <w:r>
        <w:rPr>
          <w:b/>
        </w:rPr>
        <w:t xml:space="preserve"> - NOT FOR FLOOR USE</w:t>
      </w:r>
    </w:p>
    <w:p>
      <w:pPr>
        <w:ind w:left="0" w:right="0" w:firstLine="576"/>
      </w:pPr>
    </w:p>
    <w:p>
      <w:pPr>
        <w:spacing w:before="480" w:after="0" w:line="408" w:lineRule="exact"/>
      </w:pPr>
      <w:r>
        <w:rPr>
          <w:b/>
          <w:u w:val="single"/>
        </w:rPr>
        <w:t xml:space="preserve">ESHB 2700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2015 2nd sp.s. c 3 s 16 are each amended to read as follows:</w:t>
      </w:r>
    </w:p>
    <w:p>
      <w:pPr>
        <w:spacing w:before="0" w:after="0" w:line="408" w:lineRule="exact"/>
        <w:ind w:left="0" w:right="0" w:firstLine="576"/>
        <w:jc w:val="left"/>
      </w:pPr>
      <w:r>
        <w:rPr/>
        <w:t xml:space="preserve">There is hereby established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the 24/7 sobriety account. The account shall be maintained and administered by the criminal justice training commission to reimburse the state for costs associated with establishing and operating the 24/7 sobriety program and the Washington association of sheriffs and police chiefs for ongoing 24/7 sobriety program administration costs. An appropriation is not required for expenditures and the account is not subject to allotment procedures under chapter 43.88 RCW. Funds in the account may not lapse and must carry forward from biennium to biennium. Interest earned by the account must be retained in the account. The criminal justice training commission may accept for deposit in the account money from donations, gifts, grants, participation fees, and user fees or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t>
      </w:r>
      <w:r>
        <w:rPr>
          <w:u w:val="single"/>
        </w:rPr>
        <w:t xml:space="preserve">24/7 sobriety account, the</w:t>
      </w:r>
      <w:r>
        <w:rPr/>
        <w:t xml:space="preserv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2015 2nd sp.s. c 3 s 10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46.61.503, 46.61.504, 46.61.520, and 46.61.522, </w:t>
      </w:r>
      <w:r>
        <w:t>((</w:t>
      </w:r>
      <w:r>
        <w:rPr>
          <w:strike/>
        </w:rPr>
        <w:t xml:space="preserve">or</w:t>
      </w:r>
      <w:r>
        <w:t>))</w:t>
      </w:r>
      <w:r>
        <w:rPr/>
        <w:t xml:space="preserve"> records of deferred prosecutions granted under RCW 10.05.120</w:t>
      </w:r>
      <w:r>
        <w:rPr>
          <w:u w:val="single"/>
        </w:rPr>
        <w:t xml:space="preserve">, or any other records of a prior offense as defined in RCW 46.61.5055</w:t>
      </w:r>
      <w:r>
        <w:rPr/>
        <w:t xml:space="preserve"> and shall maintain such records permanently on file.</w:t>
      </w:r>
    </w:p>
    <w:p>
      <w:pPr>
        <w:spacing w:before="0" w:after="0" w:line="408" w:lineRule="exact"/>
        <w:ind w:left="0" w:right="0" w:firstLine="576"/>
        <w:jc w:val="left"/>
      </w:pPr>
      <w:r>
        <w:rPr/>
        <w:t xml:space="preserve">(b) </w:t>
      </w:r>
      <w:r>
        <w:t>((</w:t>
      </w:r>
      <w:r>
        <w:rPr>
          <w:strike/>
        </w:rPr>
        <w:t xml:space="preserve">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strike/>
        </w:rPr>
        <w:t xml:space="preserve">(c)</w:t>
      </w:r>
      <w:r>
        <w:t>))</w:t>
      </w:r>
      <w:r>
        <w:rPr/>
        <w:t xml:space="preserve"> For purposes of RCW 46.52.101 and 46.52.130, offenses subject to this subsection shall be considered "alcohol-related"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2012 c 82 s 5 are each amended to read as follows:</w:t>
      </w:r>
    </w:p>
    <w:p>
      <w:pPr>
        <w:spacing w:before="0" w:after="0" w:line="408" w:lineRule="exact"/>
        <w:ind w:left="0" w:right="0" w:firstLine="576"/>
        <w:jc w:val="left"/>
      </w:pPr>
      <w:r>
        <w:rPr/>
        <w:t xml:space="preserve">Whenever any person served with a traffic citation </w:t>
      </w:r>
      <w:r>
        <w:rPr>
          <w:u w:val="single"/>
        </w:rPr>
        <w:t xml:space="preserve">or a traffic-related criminal complaint</w:t>
      </w:r>
      <w:r>
        <w:rPr/>
        <w:t xml:space="preserve"> willfully fails to appear at a requested hearing for a moving violation or fails to comply with the terms of a notice of traffic citation</w:t>
      </w:r>
      <w:r>
        <w:rPr/>
        <w:t xml:space="preserve"> for a moving violation </w:t>
      </w:r>
      <w:r>
        <w:rPr>
          <w:u w:val="single"/>
        </w:rPr>
        <w:t xml:space="preserve">or a traffic-related criminal complaint</w:t>
      </w:r>
      <w:r>
        <w:rPr/>
        <w:t xml:space="preserve">, the court in which the defendant failed to appear shall promptly give notice of such fact to the department of licensing. Whenever thereafter the case in which the defendant failed to appear is adjudicated, the court hearing the case shall promptly file with the department a certificate showing that the case has been adjudicated. For the purposes of this section, "moving violation" is defined by rule pursuant to RCW 46.20.2891.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2007 c 393 s 2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respond to a notice of traffic infraction, failed to appear at a requested hearing, violated a written promise to appear in court, or has failed to comply with the terms of a notice of traffic infraction</w:t>
      </w:r>
      <w:r>
        <w:rPr>
          <w:u w:val="single"/>
        </w:rPr>
        <w:t xml:space="preserve">, criminal complaint,</w:t>
      </w:r>
      <w:r>
        <w:rPr/>
        <w:t xml:space="preserve"> or citation,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2012 c 82 s 3 are each amended to read as follows:</w:t>
      </w:r>
    </w:p>
    <w:p>
      <w:pPr>
        <w:spacing w:before="0" w:after="0" w:line="408" w:lineRule="exact"/>
        <w:ind w:left="0" w:right="0" w:firstLine="576"/>
        <w:jc w:val="left"/>
      </w:pPr>
      <w:r>
        <w:rPr/>
        <w:t xml:space="preserve">The department shall suspend all driving privileges of a person when the department receives notice from a court under RCW 46.63.070(6), 46.63.110(6), or 46.64.025 that the person has failed to respond to a notice of traffic infraction for a moving violation, failed to appear at a requested hearing for a moving violation, violated a written promise to appear in court for a notice of infraction for a moving violation, or has failed to comply with the terms of a notice of traffic infraction</w:t>
      </w:r>
      <w:r>
        <w:rPr>
          <w:u w:val="single"/>
        </w:rPr>
        <w:t xml:space="preserve">, criminal complaint,</w:t>
      </w:r>
      <w:r>
        <w:rPr/>
        <w:t xml:space="preserve"> or citation for a moving violation, or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until the person provides evidence from the court that all penalties and restitution have been paid.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u w:val="single"/>
        </w:rPr>
        <w:t xml:space="preserve">Notwithstanding any other provision of law, a</w:t>
      </w:r>
      <w:r>
        <w:rPr/>
        <w:t xml:space="preserve">ll </w:t>
      </w:r>
      <w:r>
        <w:rPr>
          <w:u w:val="single"/>
        </w:rPr>
        <w:t xml:space="preserve">impaired driving</w:t>
      </w:r>
      <w:r>
        <w:rPr/>
        <w:t xml:space="preserve"> enhancements under this subsection </w:t>
      </w:r>
      <w:r>
        <w:t>((</w:t>
      </w:r>
      <w:r>
        <w:rPr>
          <w:strike/>
        </w:rPr>
        <w:t xml:space="preserve">shall be</w:t>
      </w:r>
      <w:r>
        <w:t>))</w:t>
      </w:r>
      <w:r>
        <w:rPr/>
        <w:t xml:space="preserve"> </w:t>
      </w:r>
      <w:r>
        <w:rPr>
          <w:u w:val="single"/>
        </w:rPr>
        <w:t xml:space="preserve">are</w:t>
      </w:r>
      <w:r>
        <w:rPr/>
        <w:t xml:space="preserve"> mandatory, shall be served in total confinement, and shall run consecutively to all other sentencing provisions</w:t>
      </w:r>
      <w:r>
        <w:rPr>
          <w:u w:val="single"/>
        </w:rPr>
        <w:t xml:space="preserve">, including other impaired driving enhancements, for all offenses sentenced under this chapter</w:t>
      </w:r>
      <w:r>
        <w:rPr/>
        <w:t xml:space="preserve">.</w:t>
      </w:r>
    </w:p>
    <w:p>
      <w:pPr>
        <w:spacing w:before="0" w:after="0" w:line="408" w:lineRule="exact"/>
        <w:ind w:left="0" w:right="0" w:firstLine="576"/>
        <w:jc w:val="left"/>
      </w:pPr>
      <w:r>
        <w:rPr>
          <w:u w:val="single"/>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2015 2nd sp.s. c 3 s 22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 </w:t>
      </w:r>
      <w:r>
        <w:rPr>
          <w:u w:val="single"/>
        </w:rPr>
        <w:t xml:space="preserve">Proof of qualification to draw blood may be established through the department of health's provider credential search.</w:t>
      </w:r>
      <w:r>
        <w:rPr/>
        <w:t xml:space="preserve"> This limitation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sixteen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(i) The intent to protect victims of domestic violence under RCW 10.99.010; (ii) the comparative extent of injuries inflicted or serious threats creating fear of physical injury; and (iii)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w:t>
      </w:r>
      <w:r>
        <w:rPr>
          <w:u w:val="single"/>
        </w:rPr>
        <w:t xml:space="preserve">(a) Except as provided in (b) of this subsection, a</w:t>
      </w:r>
      <w:r>
        <w:rPr/>
        <w:t xml:space="preserve">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u w:val="single"/>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230</w:t>
      </w:r>
      <w:r>
        <w:rPr/>
        <w:t xml:space="preserve"> and 2011 c 293 s 15 are each amended to read as follows:</w:t>
      </w:r>
    </w:p>
    <w:p>
      <w:pPr>
        <w:spacing w:before="0" w:after="0" w:line="408" w:lineRule="exact"/>
        <w:ind w:left="0" w:right="0" w:firstLine="576"/>
        <w:jc w:val="left"/>
      </w:pPr>
      <w:r>
        <w:rPr/>
        <w:t xml:space="preserve">(1) The Washington traffic safety commission may develop and maintain a registry of qualified victim impact panels. When imposing a requirement that an offender attend a victim impact panel under RCW 46.61.5152, the court may refer the offender to a victim impact panel that is listed in the registry. The Washington traffic safety commission may consult with victim impact panel organizations to develop and maintain a registry.</w:t>
      </w:r>
    </w:p>
    <w:p>
      <w:pPr>
        <w:spacing w:before="0" w:after="0" w:line="408" w:lineRule="exact"/>
        <w:ind w:left="0" w:right="0" w:firstLine="576"/>
        <w:jc w:val="left"/>
      </w:pPr>
      <w:r>
        <w:rPr/>
        <w:t xml:space="preserve">(2) To be listed on the registry, the victim impact panel must meet the following minimum standards:</w:t>
      </w:r>
    </w:p>
    <w:p>
      <w:pPr>
        <w:spacing w:before="0" w:after="0" w:line="408" w:lineRule="exact"/>
        <w:ind w:left="0" w:right="0" w:firstLine="576"/>
        <w:jc w:val="left"/>
      </w:pPr>
      <w:r>
        <w:rPr/>
        <w:t xml:space="preserve">(a) The victim impact panel must address the effects of driving while impaired on individuals and families and address alternatives to drinking and driving and drug use and driving;</w:t>
      </w:r>
    </w:p>
    <w:p>
      <w:pPr>
        <w:spacing w:before="0" w:after="0" w:line="408" w:lineRule="exact"/>
        <w:ind w:left="0" w:right="0" w:firstLine="576"/>
        <w:jc w:val="left"/>
      </w:pPr>
      <w:r>
        <w:rPr/>
        <w:t xml:space="preserve">(b) The victim impact panel </w:t>
      </w:r>
      <w:r>
        <w:t>((</w:t>
      </w:r>
      <w:r>
        <w:rPr>
          <w:strike/>
        </w:rPr>
        <w:t xml:space="preserve">should strive to</w:t>
      </w:r>
      <w:r>
        <w:t>))</w:t>
      </w:r>
      <w:r>
        <w:rPr/>
        <w:t xml:space="preserve"> </w:t>
      </w:r>
      <w:r>
        <w:rPr>
          <w:u w:val="single"/>
        </w:rPr>
        <w:t xml:space="preserve">shall</w:t>
      </w:r>
      <w:r>
        <w:rPr/>
        <w:t xml:space="preserve"> have at least two different speakers, one of whom is a victim survivor of an impaired driving crash, to present their stories in person. A victim survivor may be the panel facilitator. The victim impact panel should be a minimum of sixty minutes of presentation, not including registration and administration time;</w:t>
      </w:r>
    </w:p>
    <w:p>
      <w:pPr>
        <w:spacing w:before="0" w:after="0" w:line="408" w:lineRule="exact"/>
        <w:ind w:left="0" w:right="0" w:firstLine="576"/>
        <w:jc w:val="left"/>
      </w:pPr>
      <w:r>
        <w:rPr/>
        <w:t xml:space="preserve">(c) The victim impact panel shall have policies and procedures to recruit, screen, train, and provide feedback and ongoing support to the panelists. The panel shall take reasonable steps to verify the authenticity of each panelist's story;</w:t>
      </w:r>
    </w:p>
    <w:p>
      <w:pPr>
        <w:spacing w:before="0" w:after="0" w:line="408" w:lineRule="exact"/>
        <w:ind w:left="0" w:right="0" w:firstLine="576"/>
        <w:jc w:val="left"/>
      </w:pPr>
      <w:r>
        <w:rPr/>
        <w:t xml:space="preserve">(d) </w:t>
      </w:r>
      <w:r>
        <w:rPr>
          <w:u w:val="single"/>
        </w:rPr>
        <w:t xml:space="preserve">Pursuant to (b) of this subsection, the victim impact panel shall use in-person speakers for each presentation for a minimum of sixty minutes of presentation. The victim impact panel may supplement the in-person presentations with prerecorded videos, but in no case shall the videos shown exceed fifteen minutes of presentation;</w:t>
      </w:r>
    </w:p>
    <w:p>
      <w:pPr>
        <w:spacing w:before="0" w:after="0" w:line="408" w:lineRule="exact"/>
        <w:ind w:left="0" w:right="0" w:firstLine="576"/>
        <w:jc w:val="left"/>
      </w:pPr>
      <w:r>
        <w:rPr>
          <w:u w:val="single"/>
        </w:rPr>
        <w:t xml:space="preserve">(e)</w:t>
      </w:r>
      <w:r>
        <w:rPr/>
        <w:t xml:space="preserve"> The victim impact panel shall charge a reasonable fee to all persons required to attend, unless otherwise ordered by the court;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victim impact panel shall have a policy to prohibit admittance of anyone under the influence of alcohol or drugs, or anyone whose actions or behavior are otherwise inappropriate. The victim impact panel may institute additional admission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victim impact panel shall maintain attendance records for at least five years;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victim impact panel shall make reasonable efforts to use a facility that meets standards established by the Americans with disabilities act;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victim impact panel may provide referral information to other community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victim impact panel shall have a designated facilitator who is responsible for the compliance with these minimum standards and who is responsible for maintaining appropriate records and communication with the referring courts and probationary departments regarding attendance or nonattendance.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2013 2nd sp.s. c 35 s 21 are each amended to read as follows:</w:t>
      </w:r>
    </w:p>
    <w:p>
      <w:pPr>
        <w:spacing w:before="0" w:after="0" w:line="408" w:lineRule="exact"/>
        <w:ind w:left="0" w:right="0" w:firstLine="576"/>
        <w:jc w:val="left"/>
      </w:pPr>
      <w:r>
        <w:rPr/>
        <w:t xml:space="preserve">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w:t>
      </w:r>
      <w:r>
        <w:t>((</w:t>
      </w:r>
      <w:r>
        <w:rPr>
          <w:strike/>
        </w:rPr>
        <w:t xml:space="preserve">(3)</w:t>
      </w:r>
      <w:r>
        <w:t>))</w:t>
      </w:r>
      <w:r>
        <w:rPr/>
        <w:t xml:space="preserve">.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2006 c 73 s 15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w:t>
      </w:r>
      <w:r>
        <w:t>((</w:t>
      </w:r>
      <w:r>
        <w:rPr>
          <w:strike/>
        </w:rPr>
        <w:t xml:space="preserve">or a residential or visitation order</w:t>
      </w:r>
      <w:r>
        <w:t>))</w:t>
      </w:r>
      <w:r>
        <w:rPr/>
        <w:t xml:space="preserve">,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fifty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fifty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2015 2nd sp.s. c 3 s 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w:t>
      </w:r>
      <w:r>
        <w:rPr>
          <w:u w:val="single"/>
        </w:rPr>
        <w:t xml:space="preserve">, unless otherwise permitted under RCW 46.20.720(6)</w:t>
      </w:r>
      <w:r>
        <w:rPr/>
        <w:t xml:space="preserve">. </w:t>
      </w:r>
      <w:r>
        <w:t>((</w:t>
      </w:r>
      <w:r>
        <w:rPr>
          <w:strike/>
        </w:rPr>
        <w:t xml:space="preserve">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r>
        <w:t>))</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t>((</w:t>
      </w:r>
      <w:r>
        <w:rPr>
          <w:strike/>
        </w:rPr>
        <w:t xml:space="preserve">(iii) The time period during which the person is licensed under this section shall apply on a day-for-day basis toward satisfying the period of time the ignition interlock device restriction is required under RCW 46.20.720, 46.61.5055, 10.05.140, 46.61.500(3), and 46.61.5249(4). Beginning with incidents occurring on or after September 1, 2011, when calculating the period of time for the restriction under RCW 46.20.720 (2) or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r>
        <w: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2013 2nd sp.s. c 35 s 19 are each amended to read as follows:</w:t>
      </w:r>
    </w:p>
    <w:p>
      <w:pPr>
        <w:spacing w:before="0" w:after="0" w:line="408" w:lineRule="exact"/>
        <w:ind w:left="0" w:right="0" w:firstLine="576"/>
        <w:jc w:val="left"/>
      </w:pPr>
      <w:r>
        <w:rPr/>
        <w:t xml:space="preserve">(1) </w:t>
      </w:r>
      <w:r>
        <w:t>((</w:t>
      </w:r>
      <w:r>
        <w:rPr>
          <w:strike/>
        </w:rPr>
        <w:t xml:space="preserve">The court may order that after a period of suspension, revocation, or denial of driving privileges, and for up to as long as the court has jurisdiction, any person convicted of any offense involving the use, consumption, or possession of alcohol while operating a motor vehicle may drive only a motor vehicle equipped with a functioning ignition interlock. The court shall establish a specific calibration setting at which the interlock will prevent the vehicle from being started. The court shall also establish the period of time for which interlock use will be required.</w:t>
      </w:r>
    </w:p>
    <w:p>
      <w:pPr>
        <w:spacing w:before="0" w:after="0" w:line="408" w:lineRule="exact"/>
        <w:ind w:left="0" w:right="0" w:firstLine="576"/>
        <w:jc w:val="left"/>
      </w:pPr>
      <w:r>
        <w:rPr>
          <w:strike/>
        </w:rPr>
        <w:t xml:space="preserve">(2) Under RCW 46.61.5055 and subject to the exceptions listed in that statute, the court shall order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 The court shall order any person participating in a deferred prosecution program under RCW 10.05.020 for a violation of RCW 46.61.502 or 46.61.504 or an equivalent local ordinance to have a functioning ignition interlock device installed on all motor vehicles operated by the person.</w:t>
      </w:r>
    </w:p>
    <w:p>
      <w:pPr>
        <w:spacing w:before="0" w:after="0" w:line="408" w:lineRule="exact"/>
        <w:ind w:left="0" w:right="0" w:firstLine="576"/>
        <w:jc w:val="left"/>
      </w:pPr>
      <w:r>
        <w:rPr>
          <w:strike/>
        </w:rPr>
        <w:t xml:space="preserve">(3)(a) The department shall require that, after any applicable period of suspension, revocation, or denial of driving privileges, a person may drive only a motor vehicle equipped with a functioning ignition interlock device if the person is convicted of a violation of RCW 46.61.502 or 46.61.504 or an equivalent local or out-of-state statute or ordinance. The department shall require that a person may drive only a motor vehicle equipped with a functioning ignition interlock device if the person is convicted of a violation of RCW 46.61.5249 or 46.61.500 and is required under RCW 46.61.5249(4) or 46.61.500(3) (a) or (b) to install an ignition interlock device on all vehicles operated by the person.</w:t>
      </w:r>
    </w:p>
    <w:p>
      <w:pPr>
        <w:spacing w:before="0" w:after="0" w:line="408" w:lineRule="exact"/>
        <w:ind w:left="0" w:right="0" w:firstLine="576"/>
        <w:jc w:val="left"/>
      </w:pPr>
      <w:r>
        <w:rPr>
          <w:strike/>
        </w:rPr>
        <w:t xml:space="preserve">(b)(i) Except as provided in (b)(ii)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strike/>
        </w:rPr>
        <w:t xml:space="preserve">(ii) The employer exemption does not apply:</w:t>
      </w:r>
    </w:p>
    <w:p>
      <w:pPr>
        <w:spacing w:before="0" w:after="0" w:line="408" w:lineRule="exact"/>
        <w:ind w:left="0" w:right="0" w:firstLine="576"/>
        <w:jc w:val="left"/>
      </w:pPr>
      <w:r>
        <w:rPr>
          <w:strike/>
        </w:rPr>
        <w:t xml:space="preserve">(A) When the employer's vehicle is assigned exclusively to the restricted driver and used solely for commuting to and from employment;</w:t>
      </w:r>
    </w:p>
    <w:p>
      <w:pPr>
        <w:spacing w:before="0" w:after="0" w:line="408" w:lineRule="exact"/>
        <w:ind w:left="0" w:right="0" w:firstLine="576"/>
        <w:jc w:val="left"/>
      </w:pPr>
      <w:r>
        <w:rPr>
          <w:strike/>
        </w:rPr>
        <w:t xml:space="preserve">(B) For the first thirty days after an ignition interlock device has been installed as the result of a first conviction of a violation of RCW 46.61.502 or 46.61.504 or an equivalent local or out-of-state statute or ordinance; or</w:t>
      </w:r>
    </w:p>
    <w:p>
      <w:pPr>
        <w:spacing w:before="0" w:after="0" w:line="408" w:lineRule="exact"/>
        <w:ind w:left="0" w:right="0" w:firstLine="576"/>
        <w:jc w:val="left"/>
      </w:pPr>
      <w:r>
        <w:rPr>
          <w:strike/>
        </w:rPr>
        <w:t xml:space="preserve">(C) For the first three hundred sixty-five days after an ignition interlock device has been installed as the result of a second or subsequent conviction of a violation of RCW 46.61.502 or 46.61.504 or an equivalent local or out-of-state statute or ordinance.</w:t>
      </w:r>
    </w:p>
    <w:p>
      <w:pPr>
        <w:spacing w:before="0" w:after="0" w:line="408" w:lineRule="exact"/>
        <w:ind w:left="0" w:right="0" w:firstLine="576"/>
        <w:jc w:val="left"/>
      </w:pPr>
      <w:r>
        <w:rPr>
          <w:strike/>
        </w:rPr>
        <w:t xml:space="preserve">(c) The ignition interlock device shall be calibrated to prevent the motor vehicle from being started when the breath sample provided has an alcohol concentration of 0.025 or more. Subject to the provisions of subsections (4) and (5) of this section, the period of time of the restriction will be no less than:</w:t>
      </w:r>
    </w:p>
    <w:p>
      <w:pPr>
        <w:spacing w:before="0" w:after="0" w:line="408" w:lineRule="exact"/>
        <w:ind w:left="0" w:right="0" w:firstLine="576"/>
        <w:jc w:val="left"/>
      </w:pPr>
      <w:r>
        <w:rPr>
          <w:strike/>
        </w:rPr>
        <w:t xml:space="preserve">(i) For a person who has not previously been restricted under this section, a period of one year;</w:t>
      </w:r>
    </w:p>
    <w:p>
      <w:pPr>
        <w:spacing w:before="0" w:after="0" w:line="408" w:lineRule="exact"/>
        <w:ind w:left="0" w:right="0" w:firstLine="576"/>
        <w:jc w:val="left"/>
      </w:pPr>
      <w:r>
        <w:rPr>
          <w:strike/>
        </w:rPr>
        <w:t xml:space="preserve">(ii) For a person who has previously been restricted under (c)(i) of this subsection, a period of five years;</w:t>
      </w:r>
    </w:p>
    <w:p>
      <w:pPr>
        <w:spacing w:before="0" w:after="0" w:line="408" w:lineRule="exact"/>
        <w:ind w:left="0" w:right="0" w:firstLine="576"/>
        <w:jc w:val="left"/>
      </w:pPr>
      <w:r>
        <w:rPr>
          <w:strike/>
        </w:rPr>
        <w:t xml:space="preserve">(iii) For a person who has previously been restricted under (c)(ii) of this subsection, a period of ten years.</w:t>
      </w:r>
    </w:p>
    <w:p>
      <w:pPr>
        <w:spacing w:before="0" w:after="0" w:line="408" w:lineRule="exact"/>
        <w:ind w:left="0" w:right="0" w:firstLine="576"/>
        <w:jc w:val="left"/>
      </w:pPr>
      <w:r>
        <w:rPr>
          <w:strike/>
        </w:rPr>
        <w:t xml:space="preserve">(4) A restriction imposed under subsection (3)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strik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strik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strik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strik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strike/>
        </w:rPr>
        <w:t xml:space="preserve">(5) For a person required to install an ignition interlock device pursuant to RCW 46.61.5249(4) or 46.61.500(3), the period of time of the restriction shall be for six months and shall be subject to subsection (4) of this section.</w:t>
      </w:r>
    </w:p>
    <w:p>
      <w:pPr>
        <w:spacing w:before="0" w:after="0" w:line="408" w:lineRule="exact"/>
        <w:ind w:left="0" w:right="0" w:firstLine="576"/>
        <w:jc w:val="left"/>
      </w:pPr>
      <w:r>
        <w:rPr>
          <w:strike/>
        </w:rPr>
        <w:t xml:space="preserve">(6)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twenty dollar fee to the department to be deposited into the ignition interlock device revolving account.</w:t>
      </w:r>
      <w:r>
        <w:t>))</w:t>
      </w:r>
      <w:r>
        <w:rPr/>
        <w:t xml:space="preserve"> </w:t>
      </w:r>
      <w:r>
        <w:rPr>
          <w:b/>
          <w:u w:val="single"/>
        </w:rPr>
        <w:t xml:space="preserve">Ignition interlock restriction.</w:t>
      </w:r>
      <w:r>
        <w:rPr>
          <w:u w:val="single"/>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u w:val="single"/>
        </w:rPr>
        <w:t xml:space="preserve">(a) </w:t>
      </w:r>
      <w:r>
        <w:rPr>
          <w:b/>
          <w:u w:val="single"/>
        </w:rPr>
        <w:t xml:space="preserve">Pretrial release.</w:t>
      </w:r>
      <w:r>
        <w:rPr>
          <w:u w:val="single"/>
        </w:rPr>
        <w:t xml:space="preserve"> Upon receipt of notice from a court that an ignition interlock device restriction has been imposed under RCW 10.21.055;</w:t>
      </w:r>
    </w:p>
    <w:p>
      <w:pPr>
        <w:spacing w:before="0" w:after="0" w:line="408" w:lineRule="exact"/>
        <w:ind w:left="0" w:right="0" w:firstLine="576"/>
        <w:jc w:val="left"/>
      </w:pPr>
      <w:r>
        <w:rPr>
          <w:u w:val="single"/>
        </w:rPr>
        <w:t xml:space="preserve">(b) </w:t>
      </w:r>
      <w:r>
        <w:rPr>
          <w:b/>
          <w:u w:val="single"/>
        </w:rPr>
        <w:t xml:space="preserve">Ignition interlock driver's license.</w:t>
      </w:r>
      <w:r>
        <w:rPr>
          <w:u w:val="single"/>
        </w:rPr>
        <w:t xml:space="preserve"> As required for issuance of an ignition interlock driver's license under RCW 46.20.385;</w:t>
      </w:r>
    </w:p>
    <w:p>
      <w:pPr>
        <w:spacing w:before="0" w:after="0" w:line="408" w:lineRule="exact"/>
        <w:ind w:left="0" w:right="0" w:firstLine="576"/>
        <w:jc w:val="left"/>
      </w:pPr>
      <w:r>
        <w:rPr>
          <w:u w:val="single"/>
        </w:rPr>
        <w:t xml:space="preserve">(c) </w:t>
      </w:r>
      <w:r>
        <w:rPr>
          <w:b/>
          <w:u w:val="single"/>
        </w:rPr>
        <w:t xml:space="preserve">Deferred prosecution.</w:t>
      </w:r>
      <w:r>
        <w:rPr>
          <w:u w:val="single"/>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u w:val="single"/>
        </w:rPr>
        <w:t xml:space="preserve">(i) RCW 46.61.502 or 46.61.504 or an equivalent local ordinance; or</w:t>
      </w:r>
    </w:p>
    <w:p>
      <w:pPr>
        <w:spacing w:before="0" w:after="0" w:line="408" w:lineRule="exact"/>
        <w:ind w:left="0" w:right="0" w:firstLine="576"/>
        <w:jc w:val="left"/>
      </w:pPr>
      <w:r>
        <w:rPr>
          <w:u w:val="single"/>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u w:val="single"/>
        </w:rPr>
        <w:t xml:space="preserve">(d) </w:t>
      </w:r>
      <w:r>
        <w:rPr>
          <w:b/>
          <w:u w:val="single"/>
        </w:rPr>
        <w:t xml:space="preserve">Post conviction.</w:t>
      </w:r>
      <w:r>
        <w:rPr>
          <w:u w:val="single"/>
        </w:rPr>
        <w:t xml:space="preserve"> After any applicable period of suspension, revocation, or denial of driving privileges:</w:t>
      </w:r>
    </w:p>
    <w:p>
      <w:pPr>
        <w:spacing w:before="0" w:after="0" w:line="408" w:lineRule="exact"/>
        <w:ind w:left="0" w:right="0" w:firstLine="576"/>
        <w:jc w:val="left"/>
      </w:pPr>
      <w:r>
        <w:rPr>
          <w:u w:val="single"/>
        </w:rPr>
        <w:t xml:space="preserve">(i) Due to a conviction of a violation of RCW 46.61.502 or 46.61.504 or an equivalent local or out-of-state statute or ordinance; or</w:t>
      </w:r>
    </w:p>
    <w:p>
      <w:pPr>
        <w:spacing w:before="0" w:after="0" w:line="408" w:lineRule="exact"/>
        <w:ind w:left="0" w:right="0" w:firstLine="576"/>
        <w:jc w:val="left"/>
      </w:pPr>
      <w:r>
        <w:rPr>
          <w:u w:val="single"/>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u w:val="single"/>
        </w:rPr>
        <w:t xml:space="preserve">(e) </w:t>
      </w:r>
      <w:r>
        <w:rPr>
          <w:b/>
          <w:u w:val="single"/>
        </w:rPr>
        <w:t xml:space="preserve">Court order.</w:t>
      </w:r>
      <w:r>
        <w:rPr>
          <w:u w:val="single"/>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u w:val="single"/>
        </w:rPr>
        <w:t xml:space="preserve">(2) </w:t>
      </w:r>
      <w:r>
        <w:rPr>
          <w:b/>
          <w:u w:val="single"/>
        </w:rPr>
        <w:t xml:space="preserve">Calibration.</w:t>
      </w:r>
      <w:r>
        <w:rPr>
          <w:u w:val="single"/>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u w:val="single"/>
        </w:rPr>
        <w:t xml:space="preserve">(3) </w:t>
      </w:r>
      <w:r>
        <w:rPr>
          <w:b/>
          <w:u w:val="single"/>
        </w:rPr>
        <w:t xml:space="preserve">Duration of restriction.</w:t>
      </w:r>
      <w:r>
        <w:rPr>
          <w:u w:val="single"/>
        </w:rPr>
        <w:t xml:space="preserve"> A restriction imposed under:</w:t>
      </w:r>
    </w:p>
    <w:p>
      <w:pPr>
        <w:spacing w:before="0" w:after="0" w:line="408" w:lineRule="exact"/>
        <w:ind w:left="0" w:right="0" w:firstLine="576"/>
        <w:jc w:val="left"/>
      </w:pPr>
      <w:r>
        <w:rPr>
          <w:u w:val="single"/>
        </w:rPr>
        <w:t xml:space="preserve">(a) Subsection (1)(a) of this section shall remain in effect until:</w:t>
      </w:r>
    </w:p>
    <w:p>
      <w:pPr>
        <w:spacing w:before="0" w:after="0" w:line="408" w:lineRule="exact"/>
        <w:ind w:left="0" w:right="0" w:firstLine="576"/>
        <w:jc w:val="left"/>
      </w:pPr>
      <w:r>
        <w:rPr>
          <w:u w:val="single"/>
        </w:rPr>
        <w:t xml:space="preserve">(i) The court has authorized the removal of the device under RCW 10.21.055; or</w:t>
      </w:r>
    </w:p>
    <w:p>
      <w:pPr>
        <w:spacing w:before="0" w:after="0" w:line="408" w:lineRule="exact"/>
        <w:ind w:left="0" w:right="0" w:firstLine="576"/>
        <w:jc w:val="left"/>
      </w:pPr>
      <w:r>
        <w:rPr>
          <w:u w:val="single"/>
        </w:rPr>
        <w:t xml:space="preserve">(ii) The department has imposed a restriction under subsection (1)(b), (c), or (d) of this section arising out of the same incident.</w:t>
      </w:r>
    </w:p>
    <w:p>
      <w:pPr>
        <w:spacing w:before="0" w:after="0" w:line="408" w:lineRule="exact"/>
        <w:ind w:left="0" w:right="0" w:firstLine="576"/>
        <w:jc w:val="left"/>
      </w:pPr>
      <w:r>
        <w:rPr>
          <w:u w:val="single"/>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u w:val="single"/>
        </w:rPr>
        <w:t xml:space="preserve">(c) Subsection (1)(c)(i) or (d)(i) of this section shall be for no less than:</w:t>
      </w:r>
    </w:p>
    <w:p>
      <w:pPr>
        <w:spacing w:before="0" w:after="0" w:line="408" w:lineRule="exact"/>
        <w:ind w:left="0" w:right="0" w:firstLine="576"/>
        <w:jc w:val="left"/>
      </w:pPr>
      <w:r>
        <w:rPr>
          <w:u w:val="single"/>
        </w:rPr>
        <w:t xml:space="preserve">(i) For a person who has not previously been restricted under this subsection</w:t>
      </w:r>
      <w:r>
        <w:rPr>
          <w:u w:val="single"/>
        </w:rPr>
        <w:t xml:space="preserve">, a period of one year;</w:t>
      </w:r>
    </w:p>
    <w:p>
      <w:pPr>
        <w:spacing w:before="0" w:after="0" w:line="408" w:lineRule="exact"/>
        <w:ind w:left="0" w:right="0" w:firstLine="576"/>
        <w:jc w:val="left"/>
      </w:pPr>
      <w:r>
        <w:rPr>
          <w:u w:val="single"/>
        </w:rPr>
        <w:t xml:space="preserve">(ii) For a person who has previously been restricted under (c)(i) of this subsection</w:t>
      </w:r>
      <w:r>
        <w:rPr>
          <w:u w:val="single"/>
        </w:rPr>
        <w:t xml:space="preserve">, a period of five years;</w:t>
      </w:r>
    </w:p>
    <w:p>
      <w:pPr>
        <w:spacing w:before="0" w:after="0" w:line="408" w:lineRule="exact"/>
        <w:ind w:left="0" w:right="0" w:firstLine="576"/>
        <w:jc w:val="left"/>
      </w:pPr>
      <w:r>
        <w:rPr>
          <w:u w:val="single"/>
        </w:rPr>
        <w:t xml:space="preserve">(iii) For a person who has previously been restricted under (c)(ii) of this subsection</w:t>
      </w:r>
      <w:r>
        <w:rPr>
          <w:u w:val="single"/>
        </w:rPr>
        <w:t xml:space="preserve">, a period of ten years.</w:t>
      </w:r>
    </w:p>
    <w:p>
      <w:pPr>
        <w:spacing w:before="0" w:after="0" w:line="408" w:lineRule="exact"/>
        <w:ind w:left="0" w:right="0" w:firstLine="576"/>
        <w:jc w:val="left"/>
      </w:pPr>
      <w:r>
        <w:rPr>
          <w:u w:val="single"/>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u w:val="single"/>
        </w:rPr>
        <w:t xml:space="preserve">(d) Subsection (1)(c)(ii) </w:t>
      </w:r>
      <w:r>
        <w:rPr>
          <w:u w:val="single"/>
        </w:rPr>
        <w:t xml:space="preserve">or (d)(ii) of this section shall be for a period of no less than six months.</w:t>
      </w:r>
    </w:p>
    <w:p>
      <w:pPr>
        <w:spacing w:before="0" w:after="0" w:line="408" w:lineRule="exact"/>
        <w:ind w:left="0" w:right="0" w:firstLine="576"/>
        <w:jc w:val="left"/>
      </w:pPr>
      <w:r>
        <w:rPr>
          <w:u w:val="single"/>
        </w:rPr>
        <w:t xml:space="preserve">(e) Subsection (1)(e) of this section shall remain in effect for the period of time specified by the court.</w:t>
      </w:r>
    </w:p>
    <w:p>
      <w:pPr>
        <w:spacing w:before="0" w:after="0" w:line="408" w:lineRule="exact"/>
        <w:ind w:left="0" w:right="0" w:firstLine="576"/>
        <w:jc w:val="left"/>
      </w:pPr>
      <w:r>
        <w:rPr>
          <w:u w:val="single"/>
        </w:rPr>
        <w:t xml:space="preserve">The period of restriction under (c) and (d) of this subsection based on incidents occurring on or after the effective date of this section must be tolled for any period in which the person does not have an ignition interlock device installed on a vehicle owned or operated by the person.</w:t>
      </w:r>
    </w:p>
    <w:p>
      <w:pPr>
        <w:spacing w:before="0" w:after="0" w:line="408" w:lineRule="exact"/>
        <w:ind w:left="0" w:right="0" w:firstLine="576"/>
        <w:jc w:val="left"/>
      </w:pPr>
      <w:r>
        <w:rPr>
          <w:u w:val="single"/>
        </w:rPr>
        <w:t xml:space="preserve">(4) </w:t>
      </w:r>
      <w:r>
        <w:rPr>
          <w:b/>
          <w:u w:val="single"/>
        </w:rPr>
        <w:t xml:space="preserve">Requirements for removal.</w:t>
      </w:r>
      <w:r>
        <w:rPr>
          <w:u w:val="single"/>
        </w:rPr>
        <w:t xml:space="preserve"> A restriction imposed under subsection (1)(c) </w:t>
      </w:r>
      <w:r>
        <w:rPr>
          <w:u w:val="single"/>
        </w:rPr>
        <w:t xml:space="preserve">or (d)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u w:val="singl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u w:val="singl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u w:val="singl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u w:val="singl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u w:val="single"/>
        </w:rPr>
        <w:t xml:space="preserve">(5) </w:t>
      </w:r>
      <w:r>
        <w:rPr>
          <w:b/>
          <w:u w:val="single"/>
        </w:rPr>
        <w:t xml:space="preserve">Day-for-day credit.</w:t>
      </w:r>
      <w:r>
        <w:rPr>
          <w:u w:val="single"/>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u w:val="single"/>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u w:val="single"/>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u w:val="single"/>
        </w:rPr>
        <w:t xml:space="preserve">(6) </w:t>
      </w:r>
      <w:r>
        <w:rPr>
          <w:b/>
          <w:u w:val="single"/>
        </w:rPr>
        <w:t xml:space="preserve">Employer exemption.</w:t>
      </w:r>
      <w:r>
        <w:rPr>
          <w:u w:val="single"/>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u w:val="single"/>
        </w:rPr>
        <w:t xml:space="preserve">(b) The employer exemption does not apply </w:t>
      </w:r>
      <w:r>
        <w:rPr>
          <w:u w:val="single"/>
        </w:rPr>
        <w:t xml:space="preserve">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(7) </w:t>
      </w:r>
      <w:r>
        <w:rPr>
          <w:b/>
          <w:u w:val="single"/>
        </w:rPr>
        <w:t xml:space="preserve">Ignition interlock device revolving account.</w:t>
      </w:r>
      <w:r>
        <w:rPr>
          <w:u w:val="single"/>
        </w:rPr>
        <w:t xml:space="preserve"> In addition to any other costs associated with the use of an ignition interlock device imposed on the person restricted under this section</w:t>
      </w:r>
      <w:r>
        <w:rPr>
          <w:u w:val="single"/>
        </w:rPr>
        <w:t xml:space="preserve">, the person shall pay an additional fee of twenty dollars per month. Payments must be made directly to the ignition interlock company. The company shall remit the additional twenty dollar fee to the department to be deposited into the ignition interlock device revolving account. The department may waive the monthly fee if the person is indigent under RCW 10.101.010. </w:t>
      </w:r>
    </w:p>
    <w:p>
      <w:pPr>
        <w:spacing w:before="0" w:after="0" w:line="408" w:lineRule="exact"/>
        <w:ind w:left="0" w:right="0" w:firstLine="576"/>
        <w:jc w:val="left"/>
      </w:pPr>
      <w:r>
        <w:rPr>
          <w:u w:val="single"/>
        </w:rPr>
        <w:t xml:space="preserve">(8) </w:t>
      </w:r>
      <w:r>
        <w:rPr>
          <w:b/>
          <w:u w:val="single"/>
        </w:rPr>
        <w:t xml:space="preserve">Foreign jurisdiction.</w:t>
      </w:r>
      <w:r>
        <w:rPr>
          <w:u w:val="single"/>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w:t>
      </w:r>
      <w:r>
        <w:rPr>
          <w:u w:val="single"/>
        </w:rPr>
        <w:t xml:space="preserve">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2015 2nd sp.s. c 3 s 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w:t>
      </w:r>
      <w:r>
        <w:t>((</w:t>
      </w:r>
      <w:r>
        <w:rPr>
          <w:strike/>
        </w:rPr>
        <w:t xml:space="preserve">twenty</w:t>
      </w:r>
      <w:r>
        <w:t>))</w:t>
      </w:r>
      <w:r>
        <w:rPr/>
        <w:t xml:space="preserve"> </w:t>
      </w:r>
      <w:r>
        <w:rPr>
          <w:u w:val="single"/>
        </w:rPr>
        <w:t xml:space="preserve">seven</w:t>
      </w:r>
      <w:r>
        <w:rPr/>
        <w:t xml:space="preserve"> days after the notice has been given, request in writing a formal hearing before the department. The person shall pay a fee of three hundred seventy-five dollars as part of the request. If the request is mailed, it must be postmarked within </w:t>
      </w:r>
      <w:r>
        <w:t>((</w:t>
      </w:r>
      <w:r>
        <w:rPr>
          <w:strike/>
        </w:rPr>
        <w:t xml:space="preserve">twenty</w:t>
      </w:r>
      <w:r>
        <w:t>))</w:t>
      </w:r>
      <w:r>
        <w:rPr/>
        <w:t xml:space="preserve"> </w:t>
      </w:r>
      <w:r>
        <w:rPr>
          <w:u w:val="single"/>
        </w:rPr>
        <w:t xml:space="preserve">seven</w:t>
      </w:r>
      <w:r>
        <w:rPr/>
        <w:t xml:space="preserve">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sixty</w:t>
      </w:r>
      <w:r>
        <w:t>))</w:t>
      </w:r>
      <w:r>
        <w:rPr/>
        <w:t xml:space="preserve"> </w:t>
      </w:r>
      <w:r>
        <w:rPr>
          <w:u w:val="single"/>
        </w:rPr>
        <w:t xml:space="preserve">thirty</w:t>
      </w:r>
      <w:r>
        <w:rPr/>
        <w:t xml:space="preserve"> days</w:t>
      </w:r>
      <w:r>
        <w:rPr>
          <w:u w:val="single"/>
        </w:rPr>
        <w:t xml:space="preserve">, excluding Saturdays, Sundays, and legal holidays, following the date of timely receipt of such request for a formal hearing before the department or thirty days, excluding Saturdays, Sundays, and legal holidays</w:t>
      </w:r>
      <w:r>
        <w:rPr/>
        <w:t xml:space="preserve"> following </w:t>
      </w:r>
      <w:r>
        <w:t>((</w:t>
      </w:r>
      <w:r>
        <w:rPr>
          <w:strike/>
        </w:rPr>
        <w:t xml:space="preserve">the arrest or following</w:t>
      </w:r>
      <w:r>
        <w:t>))</w:t>
      </w:r>
      <w:r>
        <w:rPr/>
        <w:t xml:space="preserve">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w:t>
      </w:r>
      <w:r>
        <w:rPr>
          <w:u w:val="single"/>
        </w:rPr>
        <w:t xml:space="preserve">Unless otherwise agreed to by the department and the person, the department must give five days notice of the hearing to the person.</w:t>
      </w:r>
      <w:r>
        <w:rPr/>
        <w:t xml:space="preserve">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2015 2nd sp.s. c 3 s 2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w:t>
      </w:r>
      <w:r>
        <w:rPr>
          <w:u w:val="single"/>
        </w:rPr>
        <w:t xml:space="preserve">or a ninety day period of 24/7 sobriety program monitoring</w:t>
      </w:r>
      <w:r>
        <w:rPr/>
        <w:t xml:space="preserve">. </w:t>
      </w:r>
      <w:r>
        <w:rPr>
          <w:u w:val="single"/>
        </w:rPr>
        <w:t xml:space="preserve">The</w:t>
      </w:r>
      <w:r>
        <w:rPr>
          <w:u w:val="single"/>
        </w:rPr>
        <w:t xml:space="preserve"> court may consider the offender's pretrial 24/7 sobriety program monitoring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w:t>
      </w:r>
      <w:r>
        <w:rPr>
          <w:u w:val="single"/>
        </w:rPr>
        <w:t xml:space="preserve">or </w:t>
      </w:r>
      <w:r>
        <w:rPr>
          <w:u w:val="single"/>
        </w:rPr>
        <w:t xml:space="preserve">a one hundred twenty day period of 24/7 sobriety program monitoring. The court may consider the offender's pretrial 24/7 sobriety program testing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t>((</w:t>
      </w:r>
      <w:r>
        <w:rPr>
          <w:b/>
          <w:strike/>
        </w:rPr>
        <w:t xml:space="preserve">Ignition interlock device substituted for</w:t>
      </w:r>
      <w:r>
        <w:t>))</w:t>
      </w:r>
      <w:r>
        <w:rPr/>
        <w:t xml:space="preserve">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w:t>
      </w:r>
      <w:r>
        <w:rPr>
          <w:u w:val="single"/>
        </w:rPr>
        <w:t xml:space="preserve">or until the person is evaluated by an alcoholism agency or probation department pursuant to RCW 46.20.311 and the person completes or is enrolled in a ninety day period of 24/7 sobriety program monitoring. In no circumstances shall the license suspension be for fewer than two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w:t>
      </w:r>
      <w:r>
        <w:rPr>
          <w:u w:val="single"/>
        </w:rPr>
        <w:t xml:space="preserve">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u w:val="single"/>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w:t>
      </w:r>
      <w:r>
        <w:t>((</w:t>
      </w:r>
      <w:r>
        <w:rPr>
          <w:strike/>
        </w:rPr>
        <w:t xml:space="preserve">(3)</w:t>
      </w:r>
      <w:r>
        <w:t>))</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2013 c 3 s 32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w:t>
      </w:r>
      <w:r>
        <w:rPr>
          <w:u w:val="single"/>
        </w:rPr>
        <w:t xml:space="preserve">, unless the person successfully completes or is enrolled in a pretrial 24/7 sobriety program</w:t>
      </w:r>
      <w:r>
        <w:rPr/>
        <w:t xml:space="preserve">;</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2015 2nd sp.s. c 3 s 19 are each amended to read as follows:</w:t>
      </w:r>
    </w:p>
    <w:p>
      <w:pPr>
        <w:spacing w:before="0" w:after="0" w:line="408" w:lineRule="exact"/>
        <w:ind w:left="0" w:right="0" w:firstLine="576"/>
        <w:jc w:val="left"/>
      </w:pPr>
      <w:r>
        <w:rPr/>
        <w:t xml:space="preserve">(1) 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t xml:space="preserve">(2) A participant who violates the terms of participation in the 24/7 sobriety program or does not pay the required fees or associated costs pretrial or posttrial shall, at a minimum:</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the lesser of two days imprisonment or if posttrial, the entire remaining sentence imposed by the court</w:t>
      </w:r>
      <w:r>
        <w:t>))</w:t>
      </w:r>
      <w:r>
        <w:rPr/>
        <w:t xml:space="preserve"> </w:t>
      </w:r>
      <w:r>
        <w:rPr>
          <w:u w:val="single"/>
        </w:rPr>
        <w:t xml:space="preserve">a minimum of one day imprisonment</w:t>
      </w:r>
      <w:r>
        <w:rPr/>
        <w:t xml:space="preserve"> for a second violation;</w:t>
      </w:r>
    </w:p>
    <w:p>
      <w:pPr>
        <w:spacing w:before="0" w:after="0" w:line="408" w:lineRule="exact"/>
        <w:ind w:left="0" w:right="0" w:firstLine="576"/>
        <w:jc w:val="left"/>
      </w:pPr>
      <w:r>
        <w:rPr/>
        <w:t xml:space="preserve">(c) Serve </w:t>
      </w:r>
      <w:r>
        <w:t>((</w:t>
      </w:r>
      <w:r>
        <w:rPr>
          <w:strike/>
        </w:rPr>
        <w:t xml:space="preserve">the lesser of five days imprisonment or if posttrial, the entire remaining sentence imposed by the court</w:t>
      </w:r>
      <w:r>
        <w:t>))</w:t>
      </w:r>
      <w:r>
        <w:rPr/>
        <w:t xml:space="preserve"> </w:t>
      </w:r>
      <w:r>
        <w:rPr>
          <w:u w:val="single"/>
        </w:rPr>
        <w:t xml:space="preserve">a minimum of three days imprisonment</w:t>
      </w:r>
      <w:r>
        <w:rPr/>
        <w:t xml:space="preserve"> for a third violation;</w:t>
      </w:r>
    </w:p>
    <w:p>
      <w:pPr>
        <w:spacing w:before="0" w:after="0" w:line="408" w:lineRule="exact"/>
        <w:ind w:left="0" w:right="0" w:firstLine="576"/>
        <w:jc w:val="left"/>
      </w:pPr>
      <w:r>
        <w:rPr/>
        <w:t xml:space="preserve">(d) Serve </w:t>
      </w:r>
      <w:r>
        <w:t>((</w:t>
      </w:r>
      <w:r>
        <w:rPr>
          <w:strike/>
        </w:rPr>
        <w:t xml:space="preserve">the lesser of ten days imprisonment or if posttrial, the entire remaining sentence imposed by the court</w:t>
      </w:r>
      <w:r>
        <w:t>))</w:t>
      </w:r>
      <w:r>
        <w:rPr/>
        <w:t xml:space="preserve"> </w:t>
      </w:r>
      <w:r>
        <w:rPr>
          <w:u w:val="single"/>
        </w:rPr>
        <w:t xml:space="preserve">a minimum of five days imprisonment</w:t>
      </w:r>
      <w:r>
        <w:rPr/>
        <w:t xml:space="preserve"> for a fourth violation; and</w:t>
      </w:r>
    </w:p>
    <w:p>
      <w:pPr>
        <w:spacing w:before="0" w:after="0" w:line="408" w:lineRule="exact"/>
        <w:ind w:left="0" w:right="0" w:firstLine="576"/>
        <w:jc w:val="left"/>
      </w:pPr>
      <w:r>
        <w:rPr/>
        <w:t xml:space="preserve">(e) </w:t>
      </w:r>
      <w:r>
        <w:rPr>
          <w:u w:val="single"/>
        </w:rPr>
        <w:t xml:space="preserve">Serve a minimum of seven days imprisonment f</w:t>
      </w:r>
      <w:r>
        <w:rPr/>
        <w:t xml:space="preserve">or a fifth or subsequent violation </w:t>
      </w:r>
      <w:r>
        <w:t>((</w:t>
      </w:r>
      <w:r>
        <w:rPr>
          <w:strike/>
        </w:rPr>
        <w:t xml:space="preserve">pretrial, the participant shall abide by the order of the court. For posttrial participants, the participant shall serve the entire remaining sentence imposed by the court</w:t>
      </w:r>
      <w:r>
        <w:t>))</w:t>
      </w:r>
      <w:r>
        <w:rPr/>
        <w:t xml:space="preserve">.</w:t>
      </w:r>
    </w:p>
    <w:p>
      <w:pPr>
        <w:spacing w:before="0" w:after="0" w:line="408" w:lineRule="exact"/>
        <w:ind w:left="0" w:right="0" w:firstLine="576"/>
        <w:jc w:val="left"/>
      </w:pPr>
      <w:r>
        <w:rPr/>
        <w:t xml:space="preserve">(3) The court may remove a participant from the 24/7 sobriety program at any time for noncompliance with the terms of participation. </w:t>
      </w:r>
      <w:r>
        <w:rPr>
          <w:u w:val="single"/>
        </w:rPr>
        <w:t xml:space="preserve">If a participant is removed from the 24/7 sobriety program, the court shall send written notice to the department of licensing within five business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January 1, 2019.</w:t>
      </w:r>
      <w:r>
        <w:rPr/>
        <w:t xml:space="preserve">"</w:t>
      </w:r>
    </w:p>
    <w:p>
      <w:pPr>
        <w:spacing w:before="480" w:after="0" w:line="408" w:lineRule="exact"/>
      </w:pPr>
      <w:r>
        <w:rPr>
          <w:b/>
          <w:u w:val="single"/>
        </w:rPr>
        <w:t xml:space="preserve">ESHB 2700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03/09/2016</w:t>
      </w:r>
    </w:p>
    <w:p>
      <w:pPr>
        <w:spacing w:before="0" w:after="0" w:line="408" w:lineRule="exact"/>
        <w:ind w:left="0" w:right="0" w:firstLine="576"/>
        <w:jc w:val="left"/>
      </w:pPr>
      <w:r>
        <w:rPr/>
        <w:t xml:space="preserve">On page 1, line 1 of the title, after "driving;" strike the remainder of the title and insert "amending RCW 36.28A.320, 46.01.260, 46.64.025, 46.20.291, 46.20.289, 9.94A.533, 46.61.506, 10.01.230, 10.05.140, 46.20.311, 46.20.385, 46.20.720, 46.20.308, 10.21.055, 46.61.5055, 46.20.3101, and 36.28A.390; reenacting and amending RCW 43.79A.040 and 10.31.100; repealing RCW 36.28A.310; and providing an effective date."</w:t>
      </w:r>
    </w:p>
    <w:p>
      <w:pPr>
        <w:spacing w:before="0" w:after="0" w:line="408" w:lineRule="exact"/>
        <w:ind w:left="0" w:right="0" w:firstLine="576"/>
        <w:jc w:val="left"/>
      </w:pPr>
      <w:r>
        <w:rPr>
          <w:u w:val="single"/>
        </w:rPr>
        <w:t xml:space="preserve">EFFECT:</w:t>
      </w:r>
      <w:r>
        <w:rPr/>
        <w:t xml:space="preserve"> (1) Removes the requirement that the department of licensing destroy a person's driving record if he or she was originally charged of a DUI-related offense but the court found and concluded (through a written finding of fact and conclusion) that the person was not intoxicated by liquor, marijuana, or a controlled substance (without a valid prescription).</w:t>
      </w:r>
    </w:p>
    <w:p>
      <w:pPr>
        <w:spacing w:before="0" w:after="0" w:line="408" w:lineRule="exact"/>
        <w:ind w:left="0" w:right="0" w:firstLine="576"/>
        <w:jc w:val="left"/>
      </w:pPr>
      <w:r>
        <w:rPr/>
        <w:t xml:space="preserve">(2) Corrects an internal reference.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3c5898be4540ec" /></Relationships>
</file>