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537baa3ff403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2449-S2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HARG</w:t>
        </w:r>
      </w:r>
      <w:r>
        <w:rPr>
          <w:b/>
        </w:rPr>
        <w:t xml:space="preserve"> </w:t>
        <w:r>
          <w:rPr/>
          <w:t xml:space="preserve">S5185.1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2449</w:t>
      </w:r>
      <w:r>
        <w:t xml:space="preserve"> -</w:t>
      </w:r>
      <w:r>
        <w:t xml:space="preserve"> </w:t>
        <w:t xml:space="preserve">S AMD TO S AMD (S-5152.4/16)</w:t>
      </w:r>
      <w:r>
        <w:t xml:space="preserve"> </w:t>
      </w:r>
      <w:r>
        <w:rPr>
          <w:b/>
        </w:rPr>
        <w:t xml:space="preserve">755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Hargrove, Darneille, O'Ban</w:t>
      </w:r>
    </w:p>
    <w:p>
      <w:pPr>
        <w:jc w:val="right"/>
      </w:pPr>
      <w:r>
        <w:rPr>
          <w:b/>
        </w:rPr>
        <w:t xml:space="preserve">ADOPTED 03/09/2016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28 of the amendment, after "understanding." insert "For a school district that is located in more than one county, the memorandum of understanding shall be with the juvenile court in the county that acts as the school district's treasurer."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29d22da3c4379" /></Relationships>
</file>