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5ee4135d8646e8" /></Relationships>
</file>

<file path=word/document.xml><?xml version="1.0" encoding="utf-8"?>
<w:document xmlns:w="http://schemas.openxmlformats.org/wordprocessingml/2006/main">
  <w:body>
    <w:p>
      <w:r>
        <w:rPr>
          <w:b/>
        </w:rPr>
        <w:r>
          <w:rPr/>
          <w:t xml:space="preserve">2427-S</w:t>
        </w:r>
      </w:r>
      <w:r>
        <w:rPr>
          <w:b/>
        </w:rPr>
        <w:t xml:space="preserve"> </w:t>
        <w:t xml:space="preserve">AMS</w:t>
      </w:r>
      <w:r>
        <w:rPr>
          <w:b/>
        </w:rPr>
        <w:t xml:space="preserve"> </w:t>
        <w:r>
          <w:rPr/>
          <w:t xml:space="preserve">BENT</w:t>
        </w:r>
      </w:r>
      <w:r>
        <w:rPr>
          <w:b/>
        </w:rPr>
        <w:t xml:space="preserve"> </w:t>
        <w:r>
          <w:rPr/>
          <w:t xml:space="preserve">S5041.2</w:t>
        </w:r>
      </w:r>
      <w:r>
        <w:rPr>
          <w:b/>
        </w:rPr>
        <w:t xml:space="preserve"> - NOT FOR FLOOR USE</w:t>
      </w:r>
    </w:p>
    <w:p>
      <w:pPr>
        <w:ind w:left="0" w:right="0" w:firstLine="576"/>
      </w:pPr>
    </w:p>
    <w:p>
      <w:pPr>
        <w:spacing w:before="480" w:after="0" w:line="408" w:lineRule="exact"/>
      </w:pPr>
      <w:r>
        <w:rPr>
          <w:b/>
          <w:u w:val="single"/>
        </w:rPr>
        <w:t xml:space="preserve">SHB 2427</w:t>
      </w:r>
      <w:r>
        <w:t xml:space="preserve"> -</w:t>
      </w:r>
      <w:r>
        <w:t xml:space="preserve"> </w:t>
        <w:t xml:space="preserve">S AMD TO GOS COMM AMD (S-5007.1/16)</w:t>
      </w:r>
      <w:r>
        <w:t xml:space="preserve"> </w:t>
      </w:r>
      <w:r>
        <w:rPr>
          <w:b/>
        </w:rPr>
        <w:t xml:space="preserve">723</w:t>
      </w:r>
    </w:p>
    <w:p>
      <w:pPr>
        <w:spacing w:before="0" w:after="0" w:line="408" w:lineRule="exact"/>
        <w:ind w:left="0" w:right="0" w:firstLine="576"/>
        <w:jc w:val="left"/>
      </w:pPr>
      <w:r>
        <w:rPr/>
        <w:t xml:space="preserve">By Senator Benton</w:t>
      </w:r>
    </w:p>
    <w:p>
      <w:pPr>
        <w:jc w:val="right"/>
      </w:pPr>
      <w:r>
        <w:rPr>
          <w:b/>
        </w:rPr>
        <w:t xml:space="preserve">RULED BEYOND SCOPE 03/04/2016</w:t>
      </w:r>
    </w:p>
    <w:p>
      <w:pPr>
        <w:spacing w:before="0" w:after="0" w:line="408" w:lineRule="exact"/>
        <w:ind w:left="0" w:right="0" w:firstLine="576"/>
        <w:jc w:val="left"/>
      </w:pPr>
      <w:r>
        <w:rPr/>
        <w:t xml:space="preserve">On page 11, after line 30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in a county that has a population greater than three hundred fifty thousand, is bordered by the Columbia river, is west of the Cascade mountain range, and borders another state to the south. Such facilities are both urban and rural development for purposes of this chapter.</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w:t>
      </w:r>
    </w:p>
    <w:p>
      <w:pPr>
        <w:spacing w:before="0" w:after="0" w:line="408" w:lineRule="exact"/>
        <w:ind w:left="0" w:right="0" w:firstLine="576"/>
        <w:jc w:val="left"/>
      </w:pPr>
      <w:r>
        <w:rPr/>
        <w:t xml:space="preserve">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shall be subject to the requirements of (d)(iv) of this subsection, but shall not be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w:t>
      </w:r>
      <w:r>
        <w:rPr>
          <w:u w:val="single"/>
        </w:rPr>
        <w:t xml:space="preserve">, and freight rail dependent uses</w:t>
      </w:r>
      <w:r>
        <w:rPr/>
        <w:t xml:space="preserve">.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rail dependent uses on land adjacent to a short line railroad. Development regulations may be modified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expires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September 1, 2016."</w:t>
      </w:r>
    </w:p>
    <w:p>
      <w:pPr>
        <w:spacing w:before="480" w:after="0" w:line="408" w:lineRule="exact"/>
      </w:pPr>
      <w:r>
        <w:rPr>
          <w:b/>
          <w:u w:val="single"/>
        </w:rPr>
        <w:t xml:space="preserve">SHB 2427</w:t>
      </w:r>
      <w:r>
        <w:t xml:space="preserve"> -</w:t>
      </w:r>
      <w:r>
        <w:t xml:space="preserve"> </w:t>
        <w:t xml:space="preserve">S AMD TO GOS COMM AMD (S-5007.1/16)</w:t>
      </w:r>
      <w:r>
        <w:t xml:space="preserve"> </w:t>
      </w:r>
      <w:r>
        <w:rPr>
          <w:b/>
        </w:rPr>
        <w:t xml:space="preserve">723</w:t>
      </w:r>
    </w:p>
    <w:p>
      <w:pPr>
        <w:spacing w:before="0" w:after="0" w:line="408" w:lineRule="exact"/>
        <w:ind w:left="0" w:right="0" w:firstLine="576"/>
        <w:jc w:val="left"/>
      </w:pPr>
      <w:r>
        <w:rPr/>
        <w:t xml:space="preserve">By Senator Benton</w:t>
      </w:r>
    </w:p>
    <w:p>
      <w:pPr>
        <w:jc w:val="right"/>
      </w:pPr>
      <w:r>
        <w:rPr>
          <w:b/>
        </w:rPr>
        <w:t xml:space="preserve">RULED BEYOND SCOPE 03/04/2016</w:t>
      </w:r>
    </w:p>
    <w:p>
      <w:pPr>
        <w:spacing w:before="0" w:after="0" w:line="408" w:lineRule="exact"/>
        <w:ind w:left="0" w:right="0" w:firstLine="576"/>
        <w:jc w:val="left"/>
      </w:pPr>
      <w:r>
        <w:rPr/>
        <w:t xml:space="preserve">On page 12, line 2 of the title amendment, after "35.58.585," strike all material through "section." and insert "36.57A.030, 36.70A.030, 36.70A.060, 36.70A.070, 36.70A.070, and 36.70A.108; creating a new section; providing an effective date; and providing an expiration date."</w:t>
      </w:r>
    </w:p>
    <w:p>
      <w:pPr>
        <w:spacing w:before="0" w:after="0" w:line="408" w:lineRule="exact"/>
        <w:ind w:left="0" w:right="0" w:firstLine="576"/>
        <w:jc w:val="left"/>
      </w:pPr>
      <w:r>
        <w:rPr>
          <w:u w:val="single"/>
        </w:rPr>
        <w:t xml:space="preserve">EFFECT:</w:t>
      </w:r>
      <w:r>
        <w:rPr/>
        <w:t xml:space="preserve"> (1) Adds definitions of "freight rail dependent uses" and "short line railroad" to the Growth Management Act, and provides that the terms "rural development" and "rural character" include railroad tracks and freight rail dependent uses. Freight rail dependent uses must be in a county bordered by the Columbia river, west of the Cascade mountain range, bordering another state to the south, with a population greater than 350,000.</w:t>
      </w:r>
    </w:p>
    <w:p>
      <w:pPr>
        <w:spacing w:before="0" w:after="0" w:line="408" w:lineRule="exact"/>
        <w:ind w:left="0" w:right="0" w:firstLine="576"/>
        <w:jc w:val="left"/>
      </w:pPr>
      <w:r>
        <w:rPr/>
        <w:t xml:space="preserve">(2) Requires that the rural element of comprehensive plans allow freight rail dependent uses in rural areas.</w:t>
      </w:r>
    </w:p>
    <w:p>
      <w:pPr>
        <w:spacing w:before="0" w:after="0" w:line="408" w:lineRule="exact"/>
        <w:ind w:left="0" w:right="0" w:firstLine="576"/>
        <w:jc w:val="left"/>
      </w:pPr>
      <w:r>
        <w:rPr/>
        <w:t xml:space="preserve">(3) Authorizes cities and counties to adopt development regulations to assure that agricultural, forest, and mineral resource lands adjacent to short line railroads may be developed for freight rail dependent uses.</w:t>
      </w:r>
    </w:p>
    <w:p>
      <w:pPr>
        <w:spacing w:before="0" w:after="0" w:line="408" w:lineRule="exact"/>
        <w:ind w:left="0" w:right="0" w:firstLine="576"/>
        <w:jc w:val="left"/>
      </w:pPr>
      <w:r>
        <w:rPr/>
        <w:t xml:space="preserve">(4) Provides that the transportation element of a comprehensive plan, and development regulations adopted in accordance, may include development of freight rail dependent uses on land adjacent to a short line railroad.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c927f8044a4e3a" /></Relationships>
</file>