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e51eba66f041b3" /></Relationships>
</file>

<file path=word/document.xml><?xml version="1.0" encoding="utf-8"?>
<w:document xmlns:w="http://schemas.openxmlformats.org/wordprocessingml/2006/main">
  <w:body>
    <w:p>
      <w:r>
        <w:rPr>
          <w:b/>
        </w:rPr>
        <w:r>
          <w:rPr/>
          <w:t xml:space="preserve">2359-S</w:t>
        </w:r>
      </w:r>
      <w:r>
        <w:rPr>
          <w:b/>
        </w:rPr>
        <w:t xml:space="preserve"> </w:t>
        <w:t xml:space="preserve">AMS</w:t>
      </w:r>
      <w:r>
        <w:rPr>
          <w:b/>
        </w:rPr>
        <w:t xml:space="preserve"> </w:t>
        <w:r>
          <w:rPr/>
          <w:t xml:space="preserve">ENGR</w:t>
        </w:r>
      </w:r>
      <w:r>
        <w:rPr>
          <w:b/>
        </w:rPr>
        <w:t xml:space="preserve"> </w:t>
        <w:r>
          <w:rPr/>
          <w:t xml:space="preserve">S4909.E</w:t>
        </w:r>
      </w:r>
      <w:r>
        <w:rPr>
          <w:b/>
        </w:rPr>
        <w:t xml:space="preserve"> - NOT FOR FLOOR USE</w:t>
      </w:r>
    </w:p>
    <w:p>
      <w:pPr>
        <w:ind w:left="0" w:right="0" w:firstLine="576"/>
      </w:pPr>
    </w:p>
    <w:p>
      <w:pPr>
        <w:spacing w:before="480" w:after="0" w:line="408" w:lineRule="exact"/>
      </w:pPr>
      <w:r>
        <w:rPr>
          <w:b/>
          <w:u w:val="single"/>
        </w:rPr>
        <w:t xml:space="preserve">SHB 2359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Accountability &amp; Reform</w:t>
      </w:r>
    </w:p>
    <w:p>
      <w:pPr>
        <w:jc w:val="right"/>
      </w:pPr>
      <w:r>
        <w:rPr>
          <w:b/>
        </w:rPr>
        <w:t xml:space="preserve">ADOPTED AND ENGROSSED 3/1/2016</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CORRECTING FORM YEAR DESIGNATIONS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center"/>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A.  . . . . .   B.  . . . . .</w:t>
            </w:r>
          </w:p>
        </w:tc>
        <w:tc>
          <w:tcPr>
            <w:gridSpan w:val="1"/>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center"/>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0" w:line="408" w:lineRule="exact"/>
              <w:ind w:left="0" w:right="0" w:firstLine="0"/>
              <w:jc w:val="center"/>
            </w:pPr>
            <w:r>
              <w:tab/>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A.D.((</w:t>
      </w:r>
      <w:r>
        <w:rPr>
          <w:strike/>
        </w:rPr>
        <w:t xml:space="preserve">,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t xml:space="preserve">A.D.</w:t>
      </w:r>
      <w:r>
        <w:rPr/>
        <w:t xml:space="preserve">((</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A.D.((</w:t>
      </w:r>
      <w:r>
        <w:rPr>
          <w:strike/>
        </w:rPr>
        <w:t xml:space="preserve">,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A.D.((</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w:t>
            </w:r>
          </w:p>
        </w:tc>
      </w:tr>
      <w:tr>
        <w:tc>
          <w:tcPr>
            <w:gridSpan w:val="2"/>
            <w:tcW w:w="4860" w:type="dxa"/>
            <w:vAlign w:val="top"/>
          </w:tcPr>
          <w:p>
            <w:pPr>
              <w:spacing w:before="0" w:after="0" w:line="408" w:lineRule="exact"/>
              <w:ind w:left="0" w:right="0" w:firstLine="0"/>
              <w:jc w:val="both"/>
            </w:pPr>
            <w:r>
              <w:rPr>
                <w:rFonts w:ascii="Times New Roman" w:hAnsi="Times New Roman"/>
                <w:sz w:val="20"/>
              </w:rPr>
              <w:t xml:space="preserve">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right"/>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rPr>
              <w:t xml:space="preserve"> </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 . in this</w:t>
            </w: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t xml:space="preserve"> </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A.D.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80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REMOVING EXPIRED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035</w:t>
      </w:r>
      <w:r>
        <w:rPr/>
        <w:t xml:space="preserve"> (Payments by electric utilities to owners of residential buildings</w:t>
      </w:r>
      <w:r>
        <w:rPr>
          <w:rFonts w:ascii="Times New Roman" w:hAnsi="Times New Roman"/>
        </w:rPr>
        <w:t xml:space="preserve">—</w:t>
      </w:r>
      <w:r>
        <w:rPr/>
        <w:t xml:space="preserve">Recovery of expenses</w:t>
      </w:r>
      <w:r>
        <w:rPr>
          <w:rFonts w:ascii="Times New Roman" w:hAnsi="Times New Roman"/>
        </w:rPr>
        <w:t xml:space="preserve">—</w:t>
      </w:r>
      <w:r>
        <w:rPr/>
        <w:t xml:space="preserve">Effect of Pacific Northwest electric power planning and conservation act</w:t>
      </w:r>
      <w:r>
        <w:rPr>
          <w:rFonts w:ascii="Times New Roman" w:hAnsi="Times New Roman"/>
        </w:rPr>
        <w:t xml:space="preserve">—</w:t>
      </w:r>
      <w:r>
        <w:rPr/>
        <w:t xml:space="preserve">Expiration of subsections) and 1993 c 64 s 2 &amp; 1990 c 2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450</w:t>
      </w:r>
      <w:r>
        <w:rPr/>
        <w:t xml:space="preserve"> and 1998 c 334 s 2 are each amended to read as follows:</w:t>
      </w:r>
    </w:p>
    <w:p>
      <w:pPr>
        <w:spacing w:before="0" w:after="0" w:line="408" w:lineRule="exact"/>
        <w:ind w:left="0" w:right="0" w:firstLine="576"/>
        <w:jc w:val="left"/>
      </w:pPr>
      <w:r>
        <w:rPr/>
        <w:t xml:space="preserve">(1) Notwithstanding the provisions of chapter 49.46 RCW or other provisions of this chapter, the obligation of an employer to furnish or compensate an employee for apparel required during work hours shall be determined only under this section.</w:t>
      </w:r>
    </w:p>
    <w:p>
      <w:pPr>
        <w:spacing w:before="0" w:after="0" w:line="408" w:lineRule="exact"/>
        <w:ind w:left="0" w:right="0" w:firstLine="576"/>
        <w:jc w:val="left"/>
      </w:pPr>
      <w:r>
        <w:rPr/>
        <w:t xml:space="preserve">(2) Employers are not required to furnish or compensate employees for apparel that an employer requires an employee to wear during working hours unless the required apparel is a uniform.</w:t>
      </w:r>
    </w:p>
    <w:p>
      <w:pPr>
        <w:spacing w:before="0" w:after="0" w:line="408" w:lineRule="exact"/>
        <w:ind w:left="0" w:right="0" w:firstLine="576"/>
        <w:jc w:val="left"/>
      </w:pPr>
      <w:r>
        <w:rPr/>
        <w:t xml:space="preserve">(3) As used in this section, "uniform" means:</w:t>
      </w:r>
    </w:p>
    <w:p>
      <w:pPr>
        <w:spacing w:before="0" w:after="0" w:line="408" w:lineRule="exact"/>
        <w:ind w:left="0" w:right="0" w:firstLine="576"/>
        <w:jc w:val="left"/>
      </w:pPr>
      <w:r>
        <w:rPr/>
        <w:t xml:space="preserve">(a) Apparel of a distinctive style and quality that, when worn outside of the workplace, clearly identifies the person as an employee of a specific employer;</w:t>
      </w:r>
    </w:p>
    <w:p>
      <w:pPr>
        <w:spacing w:before="0" w:after="0" w:line="408" w:lineRule="exact"/>
        <w:ind w:left="0" w:right="0" w:firstLine="576"/>
        <w:jc w:val="left"/>
      </w:pPr>
      <w:r>
        <w:rPr/>
        <w:t xml:space="preserve">(b) Apparel that is specially marked with an employer's logo;</w:t>
      </w:r>
    </w:p>
    <w:p>
      <w:pPr>
        <w:spacing w:before="0" w:after="0" w:line="408" w:lineRule="exact"/>
        <w:ind w:left="0" w:right="0" w:firstLine="576"/>
        <w:jc w:val="left"/>
      </w:pPr>
      <w:r>
        <w:rPr/>
        <w:t xml:space="preserve">(c) Unique apparel representing an historical time period or an ethnic tradition; or</w:t>
      </w:r>
    </w:p>
    <w:p>
      <w:pPr>
        <w:spacing w:before="0" w:after="0" w:line="408" w:lineRule="exact"/>
        <w:ind w:left="0" w:right="0" w:firstLine="576"/>
        <w:jc w:val="left"/>
      </w:pPr>
      <w:r>
        <w:rPr/>
        <w:t xml:space="preserve">(d) Formal apparel.</w:t>
      </w:r>
    </w:p>
    <w:p>
      <w:pPr>
        <w:spacing w:before="0" w:after="0" w:line="408" w:lineRule="exact"/>
        <w:ind w:left="0" w:right="0" w:firstLine="576"/>
        <w:jc w:val="left"/>
      </w:pPr>
      <w:r>
        <w:rPr/>
        <w:t xml:space="preserve">(4) Except as provided in subsection (5) of this section, if an employer requires an employee to wear apparel of a common color that conforms to a general dress code or style, the employer is not required to furnish or compensate an employee for that apparel. For the purposes of this subsection, "common color" is limited to the following colors or light or dark variations of such colors: White, tan, or blue, for tops; and tan, black, blue, or gray, for bottoms. An employer is permitted to require an employee to obtain two sets of wearing apparel to accommodate for the seasonal changes in weather which necessitate a change in wearing apparel.</w:t>
      </w:r>
    </w:p>
    <w:p>
      <w:pPr>
        <w:spacing w:before="0" w:after="0" w:line="408" w:lineRule="exact"/>
        <w:ind w:left="0" w:right="0" w:firstLine="576"/>
        <w:jc w:val="left"/>
      </w:pPr>
      <w:r>
        <w:rPr/>
        <w:t xml:space="preserve">(5) If an employer changes the color or colors of apparel required to be worn by any of his or her employees during a two-year period of time, the employer shall furnish or compensate the employees for the apparel. The employer shall be required to furnish or compensate only those employees who are affected by the change. The two-year time period begins on the date the change in wearing apparel goes into effect and ends two years from this date. The beginning and end of the two-year time period applies to all employees regardless of when the employee is hired.</w:t>
      </w:r>
    </w:p>
    <w:p>
      <w:pPr>
        <w:spacing w:before="0" w:after="0" w:line="408" w:lineRule="exact"/>
        <w:ind w:left="0" w:right="0" w:firstLine="576"/>
        <w:jc w:val="left"/>
      </w:pPr>
      <w:r>
        <w:rPr/>
        <w:t xml:space="preserve">(6) </w:t>
      </w:r>
      <w:r>
        <w:t>((</w:t>
      </w:r>
      <w:r>
        <w:rPr>
          <w:strike/>
        </w:rPr>
        <w:t xml:space="preserve">The department shall utilize negotiated rule making as defined by RCW 34.05.310(2)(a) in the development and adoption of rules defining apparel that conforms to a general dress code or style. This subsection expires January 1, 2000.</w:t>
      </w:r>
    </w:p>
    <w:p>
      <w:pPr>
        <w:spacing w:before="0" w:after="0" w:line="408" w:lineRule="exact"/>
        <w:ind w:left="0" w:right="0" w:firstLine="576"/>
        <w:jc w:val="left"/>
      </w:pPr>
      <w:r>
        <w:rPr>
          <w:strike/>
        </w:rPr>
        <w:t xml:space="preserve">(7)</w:t>
      </w:r>
      <w:r>
        <w:t>))</w:t>
      </w:r>
      <w:r>
        <w:rPr/>
        <w:t xml:space="preserve"> For the purposes of this section, personal protective equipment required for employee protection under chapter 49.17 RCW is not deemed to be employee wearing apparel.</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MAKING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2015 3rd sp.s. c 3 s 7031 are each reenacted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65, Laws of 2015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173</w:t>
      </w:r>
      <w:r>
        <w:rPr/>
        <w:t xml:space="preserve"> and 1998 c 38 s 1 are each amended to read as follows:</w:t>
      </w:r>
    </w:p>
    <w:p>
      <w:pPr>
        <w:spacing w:before="0" w:after="0" w:line="408" w:lineRule="exact"/>
        <w:ind w:left="0" w:right="0" w:firstLine="576"/>
        <w:jc w:val="left"/>
      </w:pPr>
      <w:r>
        <w:rPr/>
        <w:t xml:space="preserve">(1) The secretary of state </w:t>
      </w:r>
      <w:r>
        <w:t>((</w:t>
      </w:r>
      <w:r>
        <w:rPr>
          <w:strike/>
        </w:rPr>
        <w:t xml:space="preserve">shall</w:t>
      </w:r>
      <w:r>
        <w:t>))</w:t>
      </w:r>
      <w:r>
        <w:rPr/>
        <w:t xml:space="preserve"> </w:t>
      </w:r>
      <w:r>
        <w:rPr>
          <w:u w:val="single"/>
        </w:rPr>
        <w:t xml:space="preserve">may</w:t>
      </w:r>
      <w:r>
        <w:rPr/>
        <w:t xml:space="preserve"> accept and file in the secretary's office </w:t>
      </w:r>
      <w:r>
        <w:t>((</w:t>
      </w:r>
      <w:r>
        <w:rPr>
          <w:strike/>
        </w:rPr>
        <w:t xml:space="preserve">facsimile</w:t>
      </w:r>
      <w:r>
        <w:t>))</w:t>
      </w:r>
      <w:r>
        <w:rPr/>
        <w:t xml:space="preserve"> </w:t>
      </w:r>
      <w:r>
        <w:rPr>
          <w:u w:val="single"/>
        </w:rPr>
        <w:t xml:space="preserve">electronic</w:t>
      </w:r>
      <w:r>
        <w:rPr/>
        <w:t xml:space="preserve"> transmissions of any documents authorized or required to be filed pursuant to Title 23, 23B, 24, or 25 RCW or chapter 18.100 RCW. The acceptance by the secretary of state is conditional upon the document being legible and otherwise satisfying the requirements of state law or rules with respect to form and content, including those established under RCW 43.07.170. If the document must be signed, that requirement </w:t>
      </w:r>
      <w:r>
        <w:t>((</w:t>
      </w:r>
      <w:r>
        <w:rPr>
          <w:strike/>
        </w:rPr>
        <w:t xml:space="preserve">is</w:t>
      </w:r>
      <w:r>
        <w:t>))</w:t>
      </w:r>
      <w:r>
        <w:rPr/>
        <w:t xml:space="preserve"> </w:t>
      </w:r>
      <w:r>
        <w:rPr>
          <w:u w:val="single"/>
        </w:rPr>
        <w:t xml:space="preserve">may be</w:t>
      </w:r>
      <w:r>
        <w:rPr/>
        <w:t xml:space="preserve"> satisfied by </w:t>
      </w:r>
      <w:r>
        <w:t>((</w:t>
      </w:r>
      <w:r>
        <w:rPr>
          <w:strike/>
        </w:rPr>
        <w:t xml:space="preserve">a facsimile copy of the</w:t>
      </w:r>
      <w:r>
        <w:t>))</w:t>
      </w:r>
      <w:r>
        <w:rPr/>
        <w:t xml:space="preserve"> </w:t>
      </w:r>
      <w:r>
        <w:rPr>
          <w:u w:val="single"/>
        </w:rPr>
        <w:t xml:space="preserve">an electronic</w:t>
      </w:r>
      <w:r>
        <w:rPr/>
        <w:t xml:space="preserve"> signature </w:t>
      </w:r>
      <w:r>
        <w:rPr>
          <w:u w:val="single"/>
        </w:rPr>
        <w:t xml:space="preserve">as defined in RCW 19.34.020</w:t>
      </w:r>
      <w:r>
        <w:rPr/>
        <w:t xml:space="preserve">.</w:t>
      </w:r>
    </w:p>
    <w:p>
      <w:pPr>
        <w:spacing w:before="0" w:after="0" w:line="408" w:lineRule="exact"/>
        <w:ind w:left="0" w:right="0" w:firstLine="576"/>
        <w:jc w:val="left"/>
      </w:pPr>
      <w:r>
        <w:rPr/>
        <w:t xml:space="preserve">(2) If a fee is required for filing the document, the secretary may reject the document for filing if the fee is not received before, or at the time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1991 c 72 s 56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24.03, 24.06, 24.12, 24.20, 24.24, 24.36, </w:t>
      </w:r>
      <w:r>
        <w:t>((</w:t>
      </w:r>
      <w:r>
        <w:rPr>
          <w:strike/>
        </w:rPr>
        <w:t xml:space="preserve">or</w:t>
      </w:r>
      <w:r>
        <w:t>))</w:t>
      </w:r>
      <w:r>
        <w:rPr/>
        <w:t xml:space="preserve"> 25.10</w:t>
      </w:r>
      <w:r>
        <w:rPr>
          <w:u w:val="single"/>
        </w:rPr>
        <w:t xml:space="preserve">, or 25.15</w:t>
      </w:r>
      <w:r>
        <w:rPr/>
        <w:t xml:space="preserve">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400</w:t>
      </w:r>
      <w:r>
        <w:rPr/>
        <w:t xml:space="preserve"> and 2007 c 156 s 3 are each amended to read as follows:</w:t>
      </w:r>
    </w:p>
    <w:p>
      <w:pPr>
        <w:spacing w:before="0" w:after="0" w:line="408" w:lineRule="exact"/>
        <w:ind w:left="0" w:right="0" w:firstLine="576"/>
        <w:jc w:val="left"/>
      </w:pPr>
      <w:r>
        <w:rPr/>
        <w:t xml:space="preserve">(1) The state domestic partnership registry is created within the secretary of state's office.</w:t>
      </w:r>
    </w:p>
    <w:p>
      <w:pPr>
        <w:spacing w:before="0" w:after="0" w:line="408" w:lineRule="exact"/>
        <w:ind w:left="0" w:right="0" w:firstLine="576"/>
        <w:jc w:val="left"/>
      </w:pPr>
      <w:r>
        <w:rPr/>
        <w:t xml:space="preserve">(2)(a) The secretary shall prepare </w:t>
      </w:r>
      <w:r>
        <w:rPr>
          <w:u w:val="single"/>
        </w:rPr>
        <w:t xml:space="preserve">a</w:t>
      </w:r>
      <w:r>
        <w:rPr/>
        <w:t xml:space="preserve"> form</w:t>
      </w:r>
      <w:r>
        <w:t>((</w:t>
      </w:r>
      <w:r>
        <w:rPr>
          <w:strike/>
        </w:rPr>
        <w:t xml:space="preserve">s</w:t>
      </w:r>
      <w:r>
        <w:t>))</w:t>
      </w:r>
      <w:r>
        <w:rPr/>
        <w:t xml:space="preserve"> entitled "declaration of state registered domestic partnership" </w:t>
      </w:r>
      <w:r>
        <w:t>((</w:t>
      </w:r>
      <w:r>
        <w:rPr>
          <w:strike/>
        </w:rPr>
        <w:t xml:space="preserve">and "notice of termination of state registered domestic partnership"</w:t>
      </w:r>
      <w:r>
        <w:t>))</w:t>
      </w:r>
      <w:r>
        <w:rPr/>
        <w:t xml:space="preserve"> to meet the requirements of RCW 26.60.010, 26.60.020, 26.60.030, and 26.60.070.</w:t>
      </w:r>
    </w:p>
    <w:p>
      <w:pPr>
        <w:spacing w:before="0" w:after="0" w:line="408" w:lineRule="exact"/>
        <w:ind w:left="0" w:right="0" w:firstLine="576"/>
        <w:jc w:val="left"/>
      </w:pPr>
      <w:r>
        <w:rPr/>
        <w:t xml:space="preserve">(b) The "declaration of state registered domestic partnership" form must contain a statement that registration may affect property and inheritance rights, that registration is not a substitute for a will, deed, or partnership agreement, and that any rights conferred by registration may be completely superseded by a will, deed, or other instrument that may be executed by either party. The form must also contain instructions on how the partnership may be terminated.</w:t>
      </w:r>
    </w:p>
    <w:p>
      <w:pPr>
        <w:spacing w:before="0" w:after="0" w:line="408" w:lineRule="exact"/>
        <w:ind w:left="0" w:right="0" w:firstLine="576"/>
        <w:jc w:val="left"/>
      </w:pPr>
      <w:r>
        <w:t>((</w:t>
      </w:r>
      <w:r>
        <w:rPr>
          <w:strike/>
        </w:rPr>
        <w:t xml:space="preserve">(c) The "notice of termination of state registered domestic partnership" form must contain a statement that termination may affect property and inheritance rights, including beneficiary designations, and other agreements, such as the appointment of a state registered domestic partner as an attorney-in-fact under a power of attorney.</w:t>
      </w:r>
      <w:r>
        <w:t>))</w:t>
      </w:r>
    </w:p>
    <w:p>
      <w:pPr>
        <w:spacing w:before="0" w:after="0" w:line="408" w:lineRule="exact"/>
        <w:ind w:left="0" w:right="0" w:firstLine="576"/>
        <w:jc w:val="left"/>
      </w:pPr>
      <w:r>
        <w:rPr/>
        <w:t xml:space="preserve">(3) </w:t>
      </w:r>
      <w:r>
        <w:t>((</w:t>
      </w:r>
      <w:r>
        <w:rPr>
          <w:strike/>
        </w:rPr>
        <w:t xml:space="preserve">The secretary shall distribute these forms to each county clerk. These</w:t>
      </w:r>
      <w:r>
        <w:t>))</w:t>
      </w:r>
      <w:r>
        <w:rPr/>
        <w:t xml:space="preserve"> </w:t>
      </w:r>
      <w:r>
        <w:rPr>
          <w:u w:val="single"/>
        </w:rPr>
        <w:t xml:space="preserve">This</w:t>
      </w:r>
      <w:r>
        <w:rPr/>
        <w:t xml:space="preserve"> form</w:t>
      </w:r>
      <w:r>
        <w:t>((</w:t>
      </w:r>
      <w:r>
        <w:rPr>
          <w:strike/>
        </w:rPr>
        <w:t xml:space="preserve">s</w:t>
      </w:r>
      <w:r>
        <w:t>))</w:t>
      </w:r>
      <w:r>
        <w:rPr/>
        <w:t xml:space="preserve"> shall be available to the public at the secretary of state's office</w:t>
      </w:r>
      <w:r>
        <w:t>((</w:t>
      </w:r>
      <w:r>
        <w:rPr>
          <w:strike/>
        </w:rPr>
        <w:t xml:space="preserve">, each county clerk,</w:t>
      </w:r>
      <w:r>
        <w:t>))</w:t>
      </w:r>
      <w:r>
        <w:rPr/>
        <w:t xml:space="preserve"> and on the internet.</w:t>
      </w:r>
    </w:p>
    <w:p>
      <w:pPr>
        <w:spacing w:before="0" w:after="0" w:line="408" w:lineRule="exact"/>
        <w:ind w:left="0" w:right="0" w:firstLine="576"/>
        <w:jc w:val="left"/>
      </w:pPr>
      <w:r>
        <w:rPr/>
        <w:t xml:space="preserve">(4) The secretary shall adopt rules necessary to implement the administration of the state domestic partnership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07</w:t>
      </w:r>
      <w:r>
        <w:rPr/>
        <w:t xml:space="preserve">.</w:t>
      </w:r>
      <w:r>
        <w:t xml:space="preserve">050</w:t>
      </w:r>
      <w:r>
        <w:rPr/>
        <w:t xml:space="preserve"> (Bureau of statistics</w:t>
      </w:r>
      <w:r>
        <w:rPr>
          <w:rFonts w:ascii="Times New Roman" w:hAnsi="Times New Roman"/>
        </w:rPr>
        <w:t xml:space="preserve">—</w:t>
      </w:r>
      <w:r>
        <w:rPr/>
        <w:t xml:space="preserve">Secretary ex officio commissioner) and 2009 c 549 s 5028 &amp; 1965 c 8 s 43.07.050;</w:t>
      </w:r>
    </w:p>
    <w:p>
      <w:pPr>
        <w:spacing w:before="0" w:after="0" w:line="408" w:lineRule="exact"/>
        <w:ind w:left="0" w:right="0" w:firstLine="576"/>
        <w:jc w:val="left"/>
      </w:pPr>
      <w:r>
        <w:t>(2)</w:t>
      </w:r>
      <w:r>
        <w:rPr/>
        <w:t xml:space="preserve">RCW </w:t>
      </w:r>
      <w:r>
        <w:t xml:space="preserve">43</w:t>
      </w:r>
      <w:r>
        <w:rPr/>
        <w:t xml:space="preserve">.</w:t>
      </w:r>
      <w:r>
        <w:t xml:space="preserve">07</w:t>
      </w:r>
      <w:r>
        <w:rPr/>
        <w:t xml:space="preserve">.</w:t>
      </w:r>
      <w:r>
        <w:t xml:space="preserve">090</w:t>
      </w:r>
      <w:r>
        <w:rPr/>
        <w:t xml:space="preserve"> (Bureau of statistics</w:t>
      </w:r>
      <w:r>
        <w:rPr>
          <w:rFonts w:ascii="Times New Roman" w:hAnsi="Times New Roman"/>
        </w:rPr>
        <w:t xml:space="preserve">—</w:t>
      </w:r>
      <w:r>
        <w:rPr/>
        <w:t xml:space="preserve">Power to obtain statistics</w:t>
      </w:r>
      <w:r>
        <w:rPr>
          <w:rFonts w:ascii="Times New Roman" w:hAnsi="Times New Roman"/>
        </w:rPr>
        <w:t xml:space="preserve">—</w:t>
      </w:r>
      <w:r>
        <w:rPr/>
        <w:t xml:space="preserve">Penalty) and 2009 c 549 s 5029 &amp; 1965 c 8 s 43.07.090;</w:t>
      </w:r>
    </w:p>
    <w:p>
      <w:pPr>
        <w:spacing w:before="0" w:after="0" w:line="408" w:lineRule="exact"/>
        <w:ind w:left="0" w:right="0" w:firstLine="576"/>
        <w:jc w:val="left"/>
      </w:pPr>
      <w:r>
        <w:t>(3)</w:t>
      </w:r>
      <w:r>
        <w:rPr/>
        <w:t xml:space="preserve">RCW </w:t>
      </w:r>
      <w:r>
        <w:t xml:space="preserve">43</w:t>
      </w:r>
      <w:r>
        <w:rPr/>
        <w:t xml:space="preserve">.</w:t>
      </w:r>
      <w:r>
        <w:t xml:space="preserve">07</w:t>
      </w:r>
      <w:r>
        <w:rPr/>
        <w:t xml:space="preserve">.</w:t>
      </w:r>
      <w:r>
        <w:t xml:space="preserve">100</w:t>
      </w:r>
      <w:r>
        <w:rPr/>
        <w:t xml:space="preserve"> (Bureau of statistics</w:t>
      </w:r>
      <w:r>
        <w:rPr>
          <w:rFonts w:ascii="Times New Roman" w:hAnsi="Times New Roman"/>
        </w:rPr>
        <w:t xml:space="preserve">—</w:t>
      </w:r>
      <w:r>
        <w:rPr/>
        <w:t xml:space="preserve">Information confidential</w:t>
      </w:r>
      <w:r>
        <w:rPr>
          <w:rFonts w:ascii="Times New Roman" w:hAnsi="Times New Roman"/>
        </w:rPr>
        <w:t xml:space="preserve">—</w:t>
      </w:r>
      <w:r>
        <w:rPr/>
        <w:t xml:space="preserve">Penalty) and 1965 c 8 s 43.07.100;</w:t>
      </w:r>
    </w:p>
    <w:p>
      <w:pPr>
        <w:spacing w:before="0" w:after="0" w:line="408" w:lineRule="exact"/>
        <w:ind w:left="0" w:right="0" w:firstLine="576"/>
        <w:jc w:val="left"/>
      </w:pPr>
      <w:r>
        <w:t>(4)</w:t>
      </w:r>
      <w:r>
        <w:rPr/>
        <w:t xml:space="preserve">RCW </w:t>
      </w:r>
      <w:r>
        <w:t xml:space="preserve">43</w:t>
      </w:r>
      <w:r>
        <w:rPr/>
        <w:t xml:space="preserve">.</w:t>
      </w:r>
      <w:r>
        <w:t xml:space="preserve">07</w:t>
      </w:r>
      <w:r>
        <w:rPr/>
        <w:t xml:space="preserve">.</w:t>
      </w:r>
      <w:r>
        <w:t xml:space="preserve">110</w:t>
      </w:r>
      <w:r>
        <w:rPr/>
        <w:t xml:space="preserve"> (Bureau of statistics</w:t>
      </w:r>
      <w:r>
        <w:rPr>
          <w:rFonts w:ascii="Times New Roman" w:hAnsi="Times New Roman"/>
        </w:rPr>
        <w:t xml:space="preserve">—</w:t>
      </w:r>
      <w:r>
        <w:rPr/>
        <w:t xml:space="preserve">Deputy commissioner) and 2009 c 549 s 5030 &amp; 1965 c 8 s 43.07.110; and</w:t>
      </w:r>
    </w:p>
    <w:p>
      <w:pPr>
        <w:spacing w:before="0" w:after="0" w:line="408" w:lineRule="exact"/>
        <w:ind w:left="0" w:right="0" w:firstLine="576"/>
        <w:jc w:val="left"/>
      </w:pPr>
      <w:r>
        <w:t>(5)</w:t>
      </w:r>
      <w:r>
        <w:rPr/>
        <w:t xml:space="preserve">RCW </w:t>
      </w:r>
      <w:r>
        <w:t xml:space="preserve">43</w:t>
      </w:r>
      <w:r>
        <w:rPr/>
        <w:t xml:space="preserve">.</w:t>
      </w:r>
      <w:r>
        <w:t xml:space="preserve">07</w:t>
      </w:r>
      <w:r>
        <w:rPr/>
        <w:t xml:space="preserve">.</w:t>
      </w:r>
      <w:r>
        <w:t xml:space="preserve">205</w:t>
      </w:r>
      <w:r>
        <w:rPr/>
        <w:t xml:space="preserve"> (Contract to issue conditional federal employer identification numbers, credentials, and documents in conjunction with license applications) and 1997 c 51 s 3."</w:t>
      </w:r>
    </w:p>
    <w:p>
      <w:pPr>
        <w:spacing w:before="480" w:after="0" w:line="408" w:lineRule="exact"/>
      </w:pPr>
      <w:r>
        <w:rPr>
          <w:b/>
          <w:u w:val="single"/>
        </w:rPr>
        <w:t xml:space="preserve">SHB 2359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Accountability &amp; Reform</w:t>
      </w:r>
    </w:p>
    <w:p>
      <w:pPr>
        <w:jc w:val="right"/>
      </w:pPr>
      <w:r>
        <w:rPr>
          <w:b/>
        </w:rPr>
        <w:t xml:space="preserve">ADOPTED AND ENGROSSED 3/1/2016</w:t>
      </w:r>
    </w:p>
    <w:p>
      <w:pPr>
        <w:spacing w:before="0" w:after="0" w:line="408" w:lineRule="exact"/>
        <w:ind w:left="0" w:right="0" w:firstLine="576"/>
        <w:jc w:val="left"/>
      </w:pPr>
      <w:r>
        <w:rPr/>
        <w:t xml:space="preserve">On page 1, line 2 of the title, after "corrections;" strike the remainder of the title and insert "amending RCW 6.21.040, 6.23.030, 9.96.020, 10.14.085, 10.37.040, 11.28.090, 11.28.140, 11.68.110, 11.88.140, 12.04.020, 12.04.030, 12.04.100, 12.04.201, 12.04.203, 12.04.204, 12.04.205, 12.04.206, 12.04.207, 12.40.110, 17.28.090, 18.44.251, 19.120.040, 26.04.090, 26.18.100, 26.50.085, 35.22.110, 35.58.090, 35A.08.120, 36.24.110, 36.60.020, 36.68.470, 41.50.590, 43.20B.040, 58.09.080, 60.08.020, 61.12.020, 64.04.030, 64.04.040, 64.04.050, 64.08.060, 64.08.070, 65.12.035, 65.12.125, 65.12.230, 65.12.235, 65.12.255, 65.12.270, 67.38.030, 84.40.320, 85.28.060, 88.32.070, 88.32.140, 91.08.380, 49.12.450, 43.07.173, 43.07.190, and 43.07.400; amending 2013 2nd sp.s. c 4 s 1905 (uncodified); reenacting and amending RCW 36.32.080; reenacting RCW 28B.15.069 and 43.19.501; repealing RCW 19.27A.035, 43.07.050, 43.07.090, 43.07.100, 43.07.110, and 43.07.205;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829d36691c48bf" /></Relationships>
</file>