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821fd985d14775" /></Relationships>
</file>

<file path=word/document.xml><?xml version="1.0" encoding="utf-8"?>
<w:document xmlns:w="http://schemas.openxmlformats.org/wordprocessingml/2006/main">
  <w:body>
    <w:p>
      <w:r>
        <w:rPr>
          <w:b/>
        </w:rPr>
        <w:r>
          <w:rPr/>
          <w:t xml:space="preserve">1980-S.E</w:t>
        </w:r>
      </w:r>
      <w:r>
        <w:rPr>
          <w:b/>
        </w:rPr>
        <w:t xml:space="preserve"> </w:t>
        <w:t xml:space="preserve">AMS</w:t>
      </w:r>
      <w:r>
        <w:rPr>
          <w:b/>
        </w:rPr>
        <w:t xml:space="preserve"> </w:t>
        <w:r>
          <w:rPr/>
          <w:t xml:space="preserve">GOS</w:t>
        </w:r>
      </w:r>
      <w:r>
        <w:rPr>
          <w:b/>
        </w:rPr>
        <w:t xml:space="preserve"> </w:t>
        <w:r>
          <w:rPr/>
          <w:t xml:space="preserve">S2783.1</w:t>
        </w:r>
      </w:r>
      <w:r>
        <w:rPr>
          <w:b/>
        </w:rPr>
        <w:t xml:space="preserve"> - NOT FOR FLOOR USE</w:t>
      </w:r>
    </w:p>
    <w:p>
      <w:pPr>
        <w:spacing w:before="480" w:after="0" w:line="408" w:lineRule="exact"/>
      </w:pPr>
      <w:r>
        <w:rPr>
          <w:b/>
          <w:u w:val="single"/>
        </w:rPr>
        <w:t xml:space="preserve">ESHB 1980</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ADOPTED AS AMENDED 4/9/2015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2014 c 108 s 2 are each amended to read as follows:</w:t>
      </w:r>
    </w:p>
    <w:p>
      <w:pPr>
        <w:ind w:left="0" w:right="0" w:firstLine="360"/>
        <w:jc w:val="both"/>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ind w:left="0" w:right="0" w:firstLine="360"/>
        <w:jc w:val="both"/>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ind w:left="0" w:right="0" w:firstLine="360"/>
        <w:jc w:val="both"/>
      </w:pPr>
      <w:r>
        <w:rPr/>
        <w:t xml:space="preserve">(3) Each guardian ad litem program shall maintain a background information record for each guardian ad litem in the program. The background information record shall include, but is not limited to, the following information:</w:t>
      </w:r>
    </w:p>
    <w:p>
      <w:pPr>
        <w:ind w:left="0" w:right="0" w:firstLine="360"/>
        <w:jc w:val="both"/>
      </w:pPr>
      <w:r>
        <w:rPr/>
        <w:t xml:space="preserve">(a) Level of formal education;</w:t>
      </w:r>
    </w:p>
    <w:p>
      <w:pPr>
        <w:ind w:left="0" w:right="0" w:firstLine="360"/>
        <w:jc w:val="both"/>
      </w:pPr>
      <w:r>
        <w:rPr/>
        <w:t xml:space="preserve">(b) General training related to the guardian ad litem's duties;</w:t>
      </w:r>
    </w:p>
    <w:p>
      <w:pPr>
        <w:ind w:left="0" w:right="0" w:firstLine="360"/>
        <w:jc w:val="both"/>
      </w:pPr>
      <w:r>
        <w:rPr/>
        <w:t xml:space="preserve">(c) Specific training related to issues potentially faced by children in the dependency system;</w:t>
      </w:r>
    </w:p>
    <w:p>
      <w:pPr>
        <w:ind w:left="0" w:right="0" w:firstLine="360"/>
        <w:jc w:val="both"/>
      </w:pPr>
      <w:r>
        <w:rPr/>
        <w:t xml:space="preserve">(d) Specific training or education related to child disability or developmental issues;</w:t>
      </w:r>
    </w:p>
    <w:p>
      <w:pPr>
        <w:ind w:left="0" w:right="0" w:firstLine="360"/>
        <w:jc w:val="both"/>
      </w:pPr>
      <w:r>
        <w:rPr/>
        <w:t xml:space="preserve">(e) Number of years' experience as a guardian ad litem;</w:t>
      </w:r>
    </w:p>
    <w:p>
      <w:pPr>
        <w:ind w:left="0" w:right="0" w:firstLine="360"/>
        <w:jc w:val="both"/>
      </w:pPr>
      <w:r>
        <w:rPr/>
        <w:t xml:space="preserve">(f) Number of appointments as a guardian ad litem and the county or counties of appointment;</w:t>
      </w:r>
    </w:p>
    <w:p>
      <w:pPr>
        <w:ind w:left="0" w:right="0" w:firstLine="360"/>
        <w:jc w:val="both"/>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ind w:left="0" w:right="0" w:firstLine="360"/>
        <w:jc w:val="both"/>
      </w:pPr>
      <w:r>
        <w:rPr/>
        <w:t xml:space="preserve">(h) Founded allegations of abuse or neglect as defined in RCW 26.44.020;</w:t>
      </w:r>
    </w:p>
    <w:p>
      <w:pPr>
        <w:ind w:left="0" w:right="0" w:firstLine="360"/>
        <w:jc w:val="both"/>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ind w:left="0" w:right="0" w:firstLine="360"/>
        <w:jc w:val="both"/>
      </w:pPr>
      <w:r>
        <w:rPr/>
        <w:t xml:space="preserve">(j) Criminal history, as defined in RCW 9.94A.030, for the period covering ten years prior to the appointment.</w:t>
      </w:r>
    </w:p>
    <w:p>
      <w:pPr>
        <w:ind w:left="0" w:right="0" w:firstLine="360"/>
        <w:jc w:val="both"/>
      </w:pPr>
      <w:r>
        <w:rPr/>
        <w:t xml:space="preserve">The background information record shall be updated annually.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ind w:left="0" w:right="0" w:firstLine="360"/>
        <w:jc w:val="both"/>
      </w:pPr>
      <w:r>
        <w:rPr/>
        <w:t xml:space="preserve">Upon appointment, the guardian ad litem, or guardian ad litem program, shall provide the parties or their attorneys with a copy of the background information record </w:t>
      </w:r>
      <w:r>
        <w:rPr>
          <w:u w:val="single"/>
        </w:rPr>
        <w:t xml:space="preserve">containing the results of the background check conducted through the Washington state patrol criminal identification system under RCW 43.43.832 through 43.43.834</w:t>
      </w:r>
      <w:r>
        <w:rPr/>
        <w:t xml:space="preserve">. The portion of the background information record containing the results of the criminal background check and the criminal history </w:t>
      </w:r>
      <w:r>
        <w:rPr>
          <w:u w:val="single"/>
        </w:rPr>
        <w:t xml:space="preserve">from the federal bureau of investigation</w:t>
      </w:r>
      <w:r>
        <w:rPr/>
        <w:t xml:space="preserve">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ind w:left="0" w:right="0" w:firstLine="360"/>
        <w:jc w:val="both"/>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ind w:left="0" w:right="0" w:firstLine="360"/>
        <w:jc w:val="both"/>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ind w:left="0" w:right="0" w:firstLine="360"/>
        <w:jc w:val="both"/>
      </w:pPr>
      <w:r>
        <w:rPr/>
        <w:t xml:space="preserve">(6)(a) The court must appoint an attorney for a child in a dependency proceeding six months after granting a petition to terminate the parent and child relationship pursuant to RCW 13.34.180 and when there is no remaining parent with parental rights.</w:t>
      </w:r>
    </w:p>
    <w:p>
      <w:pPr>
        <w:ind w:left="0" w:right="0" w:firstLine="360"/>
        <w:jc w:val="both"/>
      </w:pPr>
      <w:r>
        <w:rPr/>
        <w:t xml:space="preserve">The court must appoint an attorney for a child when there is no remaining parent with parental rights for six months or longer prior to July 1, 2014, if the child is not already represented.</w:t>
      </w:r>
    </w:p>
    <w:p>
      <w:pPr>
        <w:ind w:left="0" w:right="0" w:firstLine="360"/>
        <w:jc w:val="both"/>
      </w:pPr>
      <w:r>
        <w:rPr/>
        <w:t xml:space="preserve">The court may appoint one attorney to a group of siblings, unless there is a conflict of interest, or such representation is otherwise inconsistent with the rules of professional conduct.</w:t>
      </w:r>
    </w:p>
    <w:p>
      <w:pPr>
        <w:ind w:left="0" w:right="0" w:firstLine="360"/>
        <w:jc w:val="both"/>
      </w:pPr>
      <w:r>
        <w:rPr/>
        <w:t xml:space="preserve">(b) Legal services provided by an attorney appointed pursuant to (a) of this subsection do not include representation of the child in any appellate proceedings relative to the termination of the parent and child relationship.</w:t>
      </w:r>
    </w:p>
    <w:p>
      <w:pPr>
        <w:ind w:left="0" w:right="0" w:firstLine="360"/>
        <w:jc w:val="both"/>
      </w:pPr>
      <w:r>
        <w:rPr/>
        <w:t xml:space="preserve">(c)(i)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(c)(ii) of this subsection.</w:t>
      </w:r>
    </w:p>
    <w:p>
      <w:pPr>
        <w:ind w:left="0" w:right="0" w:firstLine="360"/>
        <w:jc w:val="both"/>
      </w:pPr>
      <w:r>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(c)(i) of this subsection and RCW 2.53.045.</w:t>
      </w:r>
    </w:p>
    <w:p>
      <w:pPr>
        <w:ind w:left="0" w:right="0" w:firstLine="360"/>
        <w:jc w:val="both"/>
      </w:pPr>
      <w:r>
        <w:rPr/>
        <w:t xml:space="preserve">(iii) The office of civil legal aid is responsible for implementation of (c)(i) and (ii) of this subsection as provided in RCW 2.53.045.</w:t>
      </w:r>
    </w:p>
    <w:p>
      <w:pPr>
        <w:ind w:left="0" w:right="0" w:firstLine="360"/>
        <w:jc w:val="both"/>
      </w:pPr>
      <w:r>
        <w:rPr/>
        <w:t xml:space="preserve">(7)(a) The court may appoint an attorney to represent the child's position in any dependency action on its own initiative, or upon the request of a parent, the child, a guardian ad litem, a caregiver, or the department.</w:t>
      </w:r>
    </w:p>
    <w:p>
      <w:pPr>
        <w:ind w:left="0" w:right="0" w:firstLine="360"/>
        <w:jc w:val="both"/>
      </w:pPr>
      <w:r>
        <w:rPr/>
        <w:t xml:space="preserve">(b)(i) If the court has not already appointed an attorney for a child, or the child is not represented by a privately retained attorney:</w:t>
      </w:r>
    </w:p>
    <w:p>
      <w:pPr>
        <w:ind w:left="0" w:right="0" w:firstLine="360"/>
        <w:jc w:val="both"/>
      </w:pPr>
      <w:r>
        <w:rPr/>
        <w:t xml:space="preserve">(A) The child's caregiver, or any individual, may refer the child to an attorney for the purposes of filing a motion to request appointment of an attorney at public expense; or</w:t>
      </w:r>
    </w:p>
    <w:p>
      <w:pPr>
        <w:ind w:left="0" w:right="0" w:firstLine="360"/>
        <w:jc w:val="both"/>
      </w:pPr>
      <w:r>
        <w:rPr/>
        <w:t xml:space="preserve">(B) The child or any individual may retain an attorney for the child for the purposes of filing a motion to request appointment of an attorney at public expense.</w:t>
      </w:r>
    </w:p>
    <w:p>
      <w:pPr>
        <w:ind w:left="0" w:right="0" w:firstLine="360"/>
        <w:jc w:val="both"/>
      </w:pPr>
      <w:r>
        <w:rPr/>
        <w:t xml:space="preserve">(ii) Nothing in this subsection (7)(b) shall be construed to change or alter the confidentiality provisions of RCW 13.50.100.</w:t>
      </w:r>
    </w:p>
    <w:p>
      <w:pPr>
        <w:ind w:left="0" w:right="0" w:firstLine="360"/>
        <w:jc w:val="both"/>
      </w:pPr>
      <w:r>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ind w:left="0" w:right="0" w:firstLine="360"/>
        <w:jc w:val="both"/>
      </w:pPr>
      <w:r>
        <w:rPr/>
        <w:t xml:space="preserve">(i) The date of the child's twelfth birthday;</w:t>
      </w:r>
    </w:p>
    <w:p>
      <w:pPr>
        <w:ind w:left="0" w:right="0" w:firstLine="360"/>
        <w:jc w:val="both"/>
      </w:pPr>
      <w:r>
        <w:rPr/>
        <w:t xml:space="preserve">(ii) Assignment of a case involving a child age twelve or older; or</w:t>
      </w:r>
    </w:p>
    <w:p>
      <w:pPr>
        <w:ind w:left="0" w:right="0" w:firstLine="360"/>
        <w:jc w:val="both"/>
      </w:pPr>
      <w:r>
        <w:rPr/>
        <w:t xml:space="preserve">(iii) July 1, 2010, for a child who turned twelve years old before July 1, 2010.</w:t>
      </w:r>
    </w:p>
    <w:p>
      <w:pPr>
        <w:ind w:left="0" w:right="0" w:firstLine="360"/>
        <w:jc w:val="both"/>
      </w:pPr>
      <w:r>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ind w:left="0" w:right="0" w:firstLine="360"/>
        <w:jc w:val="both"/>
      </w:pPr>
      <w:r>
        <w:rPr/>
        <w:t xml:space="preserve">(e) The notification and inquiry is not required if the child has already been appointed an attorney.</w:t>
      </w:r>
    </w:p>
    <w:p>
      <w:pPr>
        <w:ind w:left="0" w:right="0" w:firstLine="360"/>
        <w:jc w:val="both"/>
      </w:pPr>
      <w:r>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ind w:left="0" w:right="0" w:firstLine="360"/>
        <w:jc w:val="both"/>
      </w:pPr>
      <w:r>
        <w:rPr/>
        <w:t xml:space="preserve">(g) At the first regularly scheduled hearing after:</w:t>
      </w:r>
    </w:p>
    <w:p>
      <w:pPr>
        <w:ind w:left="0" w:right="0" w:firstLine="360"/>
        <w:jc w:val="both"/>
      </w:pPr>
      <w:r>
        <w:rPr/>
        <w:t xml:space="preserve">(i) The date of the child's twelfth birthday;</w:t>
      </w:r>
    </w:p>
    <w:p>
      <w:pPr>
        <w:ind w:left="0" w:right="0" w:firstLine="360"/>
        <w:jc w:val="both"/>
      </w:pPr>
      <w:r>
        <w:rPr/>
        <w:t xml:space="preserve">(ii) The date that a dependency petition is filed pursuant to this chapter on a child age twelve or older; or</w:t>
      </w:r>
    </w:p>
    <w:p>
      <w:pPr>
        <w:ind w:left="0" w:right="0" w:firstLine="360"/>
        <w:jc w:val="both"/>
      </w:pPr>
      <w:r>
        <w:rPr/>
        <w:t xml:space="preserve">(iii) July 1, 2010, for a child who turned twelve years old before July 1, 2010;</w:t>
      </w:r>
    </w:p>
    <w:p>
      <w:pPr>
        <w:ind w:left="0" w:right="0" w:firstLine="0"/>
        <w:jc w:val="both"/>
      </w:pPr>
      <w:r>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ind w:left="0" w:right="0" w:firstLine="360"/>
        <w:jc w:val="both"/>
      </w:pPr>
      <w:r>
        <w:rPr/>
        <w:t xml:space="preserve">(8) For the purposes of child abuse prevention and treatment act (42 U.S.C. Secs. 5101 et seq.) grants to this state under P.L. 93-247, or any related state or federal legislation, a person appointed pursuant to this section shall be deemed a guardian ad litem.</w:t>
      </w:r>
    </w:p>
    <w:p>
      <w:pPr>
        <w:ind w:left="0" w:right="0" w:firstLine="360"/>
        <w:jc w:val="both"/>
      </w:pPr>
      <w:r>
        <w:rPr/>
        <w:t xml:space="preserve">(9)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ind w:left="0" w:right="0" w:firstLine="360"/>
        <w:jc w:val="both"/>
      </w:pPr>
      <w:r>
        <w:rPr/>
        <w:t xml:space="preserve">(10)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ind w:left="0" w:right="0" w:firstLine="360"/>
        <w:jc w:val="both"/>
      </w:pPr>
      <w:r>
        <w:rPr/>
        <w:t xml:space="preserve">The following personal information is exempt from public inspection and copying under this chapter:</w:t>
      </w:r>
    </w:p>
    <w:p>
      <w:pPr>
        <w:ind w:left="0" w:right="0" w:firstLine="360"/>
        <w:jc w:val="both"/>
      </w:pPr>
      <w:r>
        <w:rPr/>
        <w:t xml:space="preserve">(1) Personal information in any files maintained for students in public schools, patients or clients of public institutions or public health agencies, or welfare recipients;</w:t>
      </w:r>
    </w:p>
    <w:p>
      <w:pPr>
        <w:ind w:left="0" w:right="0" w:firstLine="360"/>
        <w:jc w:val="both"/>
      </w:pPr>
      <w:r>
        <w:rPr/>
        <w:t xml:space="preserve">(2)(a) Personal information:</w:t>
      </w:r>
    </w:p>
    <w:p>
      <w:pPr>
        <w:ind w:left="0" w:right="0" w:firstLine="360"/>
        <w:jc w:val="both"/>
      </w:pPr>
      <w:r>
        <w:rPr/>
        <w:t xml:space="preserve">(i) For a child enrolled in licensed child care in any files maintained by the department of early learning; or</w:t>
      </w:r>
    </w:p>
    <w:p>
      <w:pPr>
        <w:ind w:left="0" w:right="0" w:firstLine="360"/>
        <w:jc w:val="both"/>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ind w:left="0" w:right="0" w:firstLine="360"/>
        <w:jc w:val="both"/>
      </w:pPr>
      <w:r>
        <w:rPr/>
        <w:t xml:space="preserve">(b) Emergency contact information under this subsection (2) may be provided to appropriate authorities and medical personnel for the purpose of treating the individual during an emergency situation;</w:t>
      </w:r>
    </w:p>
    <w:p>
      <w:pPr>
        <w:ind w:left="0" w:right="0" w:firstLine="360"/>
        <w:jc w:val="both"/>
      </w:pPr>
      <w:r>
        <w:rPr/>
        <w:t xml:space="preserve">(3) Personal information in files maintained for employees, appointees, or elected officials of any public agency to the extent that disclosure would violate their right to privacy;</w:t>
      </w:r>
    </w:p>
    <w:p>
      <w:pPr>
        <w:ind w:left="0" w:right="0" w:firstLine="360"/>
        <w:jc w:val="both"/>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ind w:left="0" w:right="0" w:firstLine="360"/>
        <w:jc w:val="both"/>
      </w:pPr>
      <w:r>
        <w:rPr/>
        <w:t xml:space="preserve">(5) Credit card numbers, debit card numbers, electronic check numbers, card expiration dates, or bank or other financial </w:t>
      </w:r>
      <w:r>
        <w:t>((</w:t>
      </w:r>
      <w:r>
        <w:rPr>
          <w:strike/>
        </w:rPr>
        <w:t xml:space="preserve">account numbers</w:t>
      </w:r>
      <w:r>
        <w:t>))</w:t>
      </w:r>
      <w:r>
        <w:rPr/>
        <w:t xml:space="preserve"> </w:t>
      </w:r>
      <w:r>
        <w:rPr>
          <w:u w:val="single"/>
        </w:rPr>
        <w:t xml:space="preserve">information as defined in RCW 9.35.005 including social security numbers</w:t>
      </w:r>
      <w:r>
        <w:rPr/>
        <w:t xml:space="preserve">, except when disclosure is expressly required by or governed by other law;</w:t>
      </w:r>
    </w:p>
    <w:p>
      <w:pPr>
        <w:ind w:left="0" w:right="0" w:firstLine="360"/>
        <w:jc w:val="both"/>
      </w:pPr>
      <w:r>
        <w:rPr/>
        <w:t xml:space="preserve">(6) Personal and financial information related to a small loan or any system of authorizing a small loan in RCW 31.45.093; </w:t>
      </w:r>
    </w:p>
    <w:p>
      <w:pPr>
        <w:ind w:left="0" w:right="0" w:firstLine="360"/>
        <w:jc w:val="both"/>
      </w:pPr>
      <w:r>
        <w:rPr/>
        <w:t xml:space="preserve">(7)(a) Any record used to prove identity, age, residential address, social security number, or other personal information required to apply for a driver's license or identicard.</w:t>
      </w:r>
    </w:p>
    <w:p>
      <w:pPr>
        <w:ind w:left="0" w:right="0" w:firstLine="360"/>
        <w:jc w:val="both"/>
      </w:pPr>
      <w:r>
        <w:rPr/>
        <w:t xml:space="preserve">(b) Information provided under RCW 46.20.111 that indicates that an applicant declined to register with the selective service system.</w:t>
      </w:r>
    </w:p>
    <w:p>
      <w:pPr>
        <w:ind w:left="0" w:right="0" w:firstLine="360"/>
        <w:jc w:val="both"/>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ind w:left="0" w:right="0" w:firstLine="360"/>
        <w:jc w:val="both"/>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ind w:left="0" w:right="0" w:firstLine="360"/>
        <w:jc w:val="both"/>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ind w:left="0" w:right="0" w:firstLine="360"/>
        <w:jc w:val="both"/>
      </w:pPr>
      <w:r>
        <w:rPr/>
        <w:t xml:space="preserve">Upon request by the legislature, the department of licensing shall provide a report to the legislature containing all of the information in subsection (7)(c) and (d) of this section that is subject to public disclosure.</w:t>
      </w:r>
    </w:p>
    <w:p>
      <w:pPr>
        <w:ind w:left="0" w:right="0" w:firstLine="360"/>
        <w:jc w:val="both"/>
      </w:pPr>
      <w:r>
        <w:rPr>
          <w:u w:val="single"/>
        </w:rPr>
        <w:t xml:space="preserve">(</w:t>
      </w:r>
      <w:r>
        <w:rPr>
          <w:u w:val="single"/>
        </w:rPr>
        <w:t xml:space="preserve">9) Voluntarily submitted information contained in a database that is part of or associated with enhanced 911 emergency communications systems, or information contained or used in emergency notification systems as provided under sections 6 and 7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ind w:left="0" w:right="0" w:firstLine="360"/>
        <w:jc w:val="both"/>
      </w:pPr>
      <w:r>
        <w:rPr/>
        <w:t xml:space="preserve">The following investigative, law enforcement, and crime victim information is exempt from public inspection and copying under this chapter:</w:t>
      </w:r>
    </w:p>
    <w:p>
      <w:pPr>
        <w:ind w:left="0" w:right="0" w:firstLine="360"/>
        <w:jc w:val="both"/>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ind w:left="0" w:right="0" w:firstLine="360"/>
        <w:jc w:val="both"/>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ind w:left="0" w:right="0" w:firstLine="360"/>
        <w:jc w:val="both"/>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ind w:left="0" w:right="0" w:firstLine="360"/>
        <w:jc w:val="both"/>
      </w:pPr>
      <w:r>
        <w:rPr/>
        <w:t xml:space="preserve">(4) License applications under RCW 9.41.070; copies of license applications or information on the applications may be released to law enforcement or corrections agencies;</w:t>
      </w:r>
    </w:p>
    <w:p>
      <w:pPr>
        <w:ind w:left="0" w:right="0" w:firstLine="360"/>
        <w:jc w:val="both"/>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ind w:left="0" w:right="0" w:firstLine="360"/>
        <w:jc w:val="both"/>
      </w:pPr>
      <w:r>
        <w:rPr/>
        <w:t xml:space="preserve">(6) </w:t>
      </w:r>
      <w:r>
        <w:rPr>
          <w:u w:val="single"/>
        </w:rPr>
        <w:t xml:space="preserve">Information contained in a local or regionally maintained gang database as well as t</w:t>
      </w:r>
      <w:r>
        <w:rPr/>
        <w:t xml:space="preserve">he statewide gang database referenced in RCW 43.43.762;</w:t>
      </w:r>
    </w:p>
    <w:p>
      <w:pPr>
        <w:ind w:left="0" w:right="0" w:firstLine="360"/>
        <w:jc w:val="both"/>
      </w:pPr>
      <w:r>
        <w:rPr/>
        <w:t xml:space="preserve">(7) Data from the electronic sales tracking system established in RCW 69.43.165;</w:t>
      </w:r>
    </w:p>
    <w:p>
      <w:pPr>
        <w:ind w:left="0" w:right="0" w:firstLine="360"/>
        <w:jc w:val="both"/>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ind w:left="0" w:right="0" w:firstLine="360"/>
        <w:jc w:val="both"/>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ind w:left="0" w:right="0" w:firstLine="360"/>
        <w:jc w:val="both"/>
      </w:pPr>
      <w:r>
        <w:rPr/>
        <w:t xml:space="preserve">(10) The felony firearm offense conviction database of felony firearm offenders established in RCW 43.43.822; </w:t>
      </w:r>
      <w:r>
        <w:t>((</w:t>
      </w:r>
      <w:r>
        <w:rPr>
          <w:strike/>
        </w:rPr>
        <w:t xml:space="preserve">and</w:t>
      </w:r>
      <w:r>
        <w:t>))</w:t>
      </w:r>
    </w:p>
    <w:p>
      <w:pPr>
        <w:ind w:left="0" w:right="0" w:firstLine="360"/>
        <w:jc w:val="both"/>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and</w:t>
      </w:r>
    </w:p>
    <w:p>
      <w:pPr>
        <w:ind w:left="0" w:right="0" w:firstLine="360"/>
        <w:jc w:val="both"/>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2014 c 170 s 2 and 2014 c 33 s 1 are each reenacted and amended to read as follows:</w:t>
      </w:r>
    </w:p>
    <w:p>
      <w:pPr>
        <w:ind w:left="0" w:right="0" w:firstLine="360"/>
        <w:jc w:val="both"/>
      </w:pPr>
      <w:r>
        <w:rPr/>
        <w:t xml:space="preserve">The following information relating to public utilities and transportation is exempt from disclosure under this chapter:</w:t>
      </w:r>
    </w:p>
    <w:p>
      <w:pPr>
        <w:ind w:left="0" w:right="0" w:firstLine="360"/>
        <w:jc w:val="both"/>
      </w:pPr>
      <w:r>
        <w:rPr/>
        <w:t xml:space="preserve">(1) Records filed with the utilities and transportation commission or attorney general under RCW 80.04.095 or 81.77.210 that a court has determined are confidential under RCW 80.04.095 or 81.77.210;</w:t>
      </w:r>
    </w:p>
    <w:p>
      <w:pPr>
        <w:ind w:left="0" w:right="0" w:firstLine="360"/>
        <w:jc w:val="both"/>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ind w:left="0" w:right="0" w:firstLine="360"/>
        <w:jc w:val="both"/>
      </w:pPr>
      <w:r>
        <w:rPr/>
        <w:t xml:space="preserve">(3) The names, residential addresses, residential telephone numbers, and other individually identifiable records held by an agency in relation to a vanpool, carpool, or other ride-sharing program or service</w:t>
      </w:r>
      <w:r>
        <w:t>((</w:t>
      </w:r>
      <w:r>
        <w:rPr>
          <w:strike/>
        </w:rPr>
        <w:t xml:space="preserve">; however, these records</w:t>
      </w:r>
      <w:r>
        <w:t>))</w:t>
      </w:r>
      <w:r>
        <w:rPr>
          <w:u w:val="single"/>
        </w:rPr>
        <w:t xml:space="preserve">. Participant's names, general locations, and point of contact</w:t>
      </w:r>
      <w:r>
        <w:rPr/>
        <w:t xml:space="preserve"> may be disclosed to other persons who apply for ride-matching services and who need that information in order to identify potential riders or drivers with whom to share rides;</w:t>
      </w:r>
    </w:p>
    <w:p>
      <w:pPr>
        <w:ind w:left="0" w:right="0" w:firstLine="360"/>
        <w:jc w:val="both"/>
      </w:pPr>
      <w:r>
        <w:rPr/>
        <w:t xml:space="preserve">(4) The personally identifying information of current or former participants or applicants in a paratransit or other transit service operated for the benefit of persons with disabilities or elderly persons;</w:t>
      </w:r>
    </w:p>
    <w:p>
      <w:pPr>
        <w:ind w:left="0" w:right="0" w:firstLine="360"/>
        <w:jc w:val="both"/>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w:t>
      </w:r>
      <w:r>
        <w:t>((</w:t>
      </w:r>
      <w:r>
        <w:rPr>
          <w:strike/>
        </w:rPr>
        <w:t xml:space="preserve">, or to the news media when reporting on public transportation or public safety</w:t>
      </w:r>
      <w:r>
        <w:t>))</w:t>
      </w:r>
      <w:r>
        <w:rPr/>
        <w:t xml:space="preserve">. As used in this subsection, "personally identifying information" includes acquisition or use information pertaining to a specific, individual transit pass or fare payment media.</w:t>
      </w:r>
    </w:p>
    <w:p>
      <w:pPr>
        <w:ind w:left="0" w:right="0" w:firstLine="360"/>
        <w:jc w:val="both"/>
      </w:pPr>
      <w:r>
        <w:rPr/>
        <w:t xml:space="preserve">(a) Information regarding the acquisition or use of transit passes or fare payment media may be disclosed in aggregate form if the data does not contain any personally identifying information.</w:t>
      </w:r>
    </w:p>
    <w:p>
      <w:pPr>
        <w:ind w:left="0" w:right="0" w:firstLine="360"/>
        <w:jc w:val="both"/>
      </w:pPr>
      <w:r>
        <w:rPr/>
        <w:t xml:space="preserve">(b) Personally identifying information may be released to law enforcement agencies if the request is accompanied by a court order;</w:t>
      </w:r>
    </w:p>
    <w:p>
      <w:pPr>
        <w:ind w:left="0" w:right="0" w:firstLine="360"/>
        <w:jc w:val="both"/>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ind w:left="0" w:right="0" w:firstLine="360"/>
        <w:jc w:val="both"/>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 and</w:t>
      </w:r>
    </w:p>
    <w:p>
      <w:pPr>
        <w:ind w:left="0" w:right="0" w:firstLine="360"/>
        <w:jc w:val="both"/>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060</w:t>
      </w:r>
      <w:r>
        <w:rPr/>
        <w:t xml:space="preserve"> and 2005 c 274 s 341 are each amended to read as follows:</w:t>
      </w:r>
    </w:p>
    <w:p>
      <w:pPr>
        <w:ind w:left="0" w:right="0" w:firstLine="360"/>
        <w:jc w:val="both"/>
      </w:pPr>
      <w:r>
        <w:rPr/>
        <w:t xml:space="preserve">(1) All ((</w:t>
      </w:r>
      <w:r>
        <w:rPr>
          <w:strike/>
        </w:rPr>
        <w:t xml:space="preserve">examination and proprietary reports and</w:t>
      </w:r>
      <w:r>
        <w:rPr/>
        <w:t xml:space="preserve">)) information </w:t>
      </w:r>
      <w:r>
        <w:rPr>
          <w:u w:val="single"/>
        </w:rPr>
        <w:t xml:space="preserve">except for proprietary reports or information</w:t>
      </w:r>
      <w:r>
        <w:rPr/>
        <w:t xml:space="preserve"> obtained by the director and the director's staff in soliciting bids from insurers and in monitoring the insurer selected by the director shall ((</w:t>
      </w:r>
      <w:r>
        <w:rPr>
          <w:strike/>
        </w:rPr>
        <w:t xml:space="preserve">not</w:t>
      </w:r>
      <w:r>
        <w:rPr/>
        <w:t xml:space="preserve">)) be made public or otherwise disclosed to any person, firm, corporation, agency, association, governmental body, or other entity.</w:t>
      </w:r>
    </w:p>
    <w:p>
      <w:pPr>
        <w:ind w:left="0" w:right="0" w:firstLine="360"/>
        <w:jc w:val="both"/>
      </w:pPr>
      <w:r>
        <w:rPr/>
        <w:t xml:space="preserve">(2) Subsection (1) of this section notwithstanding, the director may furnish all or part of examination reports prepared by the director or by any person, firm, corporation, association, or other entity preparing the reports on behalf of the director to:</w:t>
      </w:r>
    </w:p>
    <w:p>
      <w:pPr>
        <w:ind w:left="0" w:right="0" w:firstLine="360"/>
        <w:jc w:val="both"/>
      </w:pPr>
      <w:r>
        <w:rPr/>
        <w:t xml:space="preserve">(a) The Washington state insurance commissioner;</w:t>
      </w:r>
    </w:p>
    <w:p>
      <w:pPr>
        <w:ind w:left="0" w:right="0" w:firstLine="360"/>
        <w:jc w:val="both"/>
      </w:pPr>
      <w:r>
        <w:rPr/>
        <w:t xml:space="preserve">(b) A person or organization officially connected with the insurer as officer, director, attorney, auditor, or independent attorney or independent auditor; and</w:t>
      </w:r>
    </w:p>
    <w:p>
      <w:pPr>
        <w:ind w:left="0" w:right="0" w:firstLine="360"/>
        <w:jc w:val="both"/>
      </w:pPr>
      <w:r>
        <w:rPr/>
        <w:t xml:space="preserve">(c) The attorney general in his or her role as legal advisor to the director.</w:t>
      </w:r>
    </w:p>
    <w:p>
      <w:pPr>
        <w:ind w:left="0" w:right="0" w:firstLine="360"/>
        <w:jc w:val="both"/>
      </w:pPr>
      <w:r>
        <w:rPr/>
        <w:t xml:space="preserve">(3) Subsection (1) of this section notwithstanding, the director may furnish all or part of the examination or proprietary reports or information obtained by the director to:</w:t>
      </w:r>
    </w:p>
    <w:p>
      <w:pPr>
        <w:ind w:left="0" w:right="0" w:firstLine="360"/>
        <w:jc w:val="both"/>
      </w:pPr>
      <w:r>
        <w:rPr/>
        <w:t xml:space="preserve">(a) The Washington state insurance commissioner; and</w:t>
      </w:r>
    </w:p>
    <w:p>
      <w:pPr>
        <w:ind w:left="0" w:right="0" w:firstLine="360"/>
        <w:jc w:val="both"/>
      </w:pPr>
      <w:r>
        <w:rPr/>
        <w:t xml:space="preserve">(b) A person, firm, corporation, association, governmental body, or other entity with whom the director has contracted for services necessary to perform his or her official duties.</w:t>
      </w:r>
    </w:p>
    <w:p>
      <w:pPr>
        <w:ind w:left="0" w:right="0" w:firstLine="360"/>
        <w:jc w:val="both"/>
      </w:pPr>
      <w:r>
        <w:rPr/>
        <w:t xml:space="preserve">(4) ((</w:t>
      </w:r>
      <w:r>
        <w:rPr>
          <w:strike/>
        </w:rPr>
        <w:t xml:space="preserve">Examination reports and</w:t>
      </w:r>
      <w:r>
        <w:rPr/>
        <w:t xml:space="preserve">)) </w:t>
      </w:r>
      <w:r>
        <w:rPr>
          <w:u w:val="single"/>
        </w:rPr>
        <w:t xml:space="preserve">P</w:t>
      </w:r>
      <w:r>
        <w:rPr/>
        <w:t xml:space="preserve">roprietary information obtained by the director and the director's staff ((</w:t>
      </w:r>
      <w:r>
        <w:rPr>
          <w:strike/>
        </w:rPr>
        <w:t xml:space="preserve">are</w:t>
      </w:r>
      <w:r>
        <w:rPr/>
        <w:t xml:space="preserve">)) </w:t>
      </w:r>
      <w:r>
        <w:rPr>
          <w:u w:val="single"/>
        </w:rPr>
        <w:t xml:space="preserve">is</w:t>
      </w:r>
      <w:r>
        <w:rPr/>
        <w:t xml:space="preserve"> not subject to public disclosure under chapter 42.56 RCW.</w:t>
      </w:r>
    </w:p>
    <w:p>
      <w:pPr>
        <w:ind w:left="0" w:right="0" w:firstLine="360"/>
        <w:jc w:val="both"/>
      </w:pPr>
      <w:r>
        <w:rPr/>
        <w:t xml:space="preserve">(5) A person who violates any provision of this section is guilty of a gross misdemeanor.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ind w:left="0" w:right="0" w:firstLine="360"/>
        <w:jc w:val="both"/>
      </w:pPr>
      <w:r>
        <w:rPr/>
        <w:t xml:space="preserve">(1) Information contained in an automatic number identification or automatic location identification database that is part of a county enhanced 911 emergency communications system as defined in RCW 82.14B.020 and intended for display at a public safety answering point with incoming 911 voice or data is confidential and exempt from public inspection and copying under chapter 42.56 RCW.</w:t>
      </w:r>
    </w:p>
    <w:p>
      <w:pPr>
        <w:ind w:left="0" w:right="0" w:firstLine="360"/>
        <w:jc w:val="both"/>
      </w:pPr>
      <w:r>
        <w:rPr/>
        <w:t xml:space="preserve">(2) Information voluntarily submitted to be contained in a database that is part of or associated with a county enhanced 911 emergency communications system as defined in RCW 82.14B.020 and intended for the purpose of display at a public safety answering point with incoming 911 voice or data is confidential and exempt from public inspection and copying under chapter 42.56 RCW.</w:t>
      </w:r>
    </w:p>
    <w:p>
      <w:pPr>
        <w:ind w:left="0" w:right="0" w:firstLine="360"/>
        <w:jc w:val="both"/>
      </w:pPr>
      <w:r>
        <w:rPr/>
        <w:t xml:space="preserve">(3) This section shall not be interpreted to prohibit:</w:t>
      </w:r>
    </w:p>
    <w:p>
      <w:pPr>
        <w:ind w:left="0" w:right="0" w:firstLine="360"/>
        <w:jc w:val="both"/>
      </w:pPr>
      <w:r>
        <w:rPr/>
        <w:t xml:space="preserve">(a) Display of information at a public safety answering point;</w:t>
      </w:r>
    </w:p>
    <w:p>
      <w:pPr>
        <w:ind w:left="0" w:right="0" w:firstLine="360"/>
        <w:jc w:val="both"/>
      </w:pPr>
      <w:r>
        <w:rPr/>
        <w:t xml:space="preserve">(b) Dissemination of information by the public safety answering point to police, fire, or emergency medical responders for display on a device used by police, fire, or emergency medical responders for the purpose of handling or responding to emergency calls or for training;</w:t>
      </w:r>
    </w:p>
    <w:p>
      <w:pPr>
        <w:ind w:left="0" w:right="0" w:firstLine="360"/>
        <w:jc w:val="both"/>
      </w:pPr>
      <w:r>
        <w:rPr/>
        <w:t xml:space="preserve">(c) Maintenance of the database by a county;</w:t>
      </w:r>
    </w:p>
    <w:p>
      <w:pPr>
        <w:ind w:left="0" w:right="0" w:firstLine="360"/>
        <w:jc w:val="both"/>
      </w:pPr>
      <w:r>
        <w:rPr/>
        <w:t xml:space="preserve">(d) Dissemination of information by a county to local agency personnel for inclusion in an emergency notification system that makes outgoing calls to telephone numbers to provide notification of a community emergency event;</w:t>
      </w:r>
    </w:p>
    <w:p>
      <w:pPr>
        <w:ind w:left="0" w:right="0" w:firstLine="360"/>
        <w:jc w:val="both"/>
      </w:pPr>
      <w:r>
        <w:rPr/>
        <w:t xml:space="preserve">(e) Inspection or copying by the subject of the information or an authorized representative; or</w:t>
      </w:r>
    </w:p>
    <w:p>
      <w:pPr>
        <w:ind w:left="0" w:right="0" w:firstLine="360"/>
        <w:jc w:val="both"/>
      </w:pPr>
      <w:r>
        <w:rPr/>
        <w:t xml:space="preserve">(f) The public disclosure of information prepared, retained, disseminated, transmitted, or recorded, for the purpose of handling or responding to emergency calls, unless disclosure of any such information is otherwise exempted under chapter 42.56 RCW or other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ind w:left="0" w:right="0" w:firstLine="360"/>
        <w:jc w:val="both"/>
      </w:pPr>
      <w:r>
        <w:rPr/>
        <w:t xml:space="preserve">Information obtained from an automatic number identification or automatic location identification database or voluntarily submitted to a local agency for inclusion in an emergency notification system is confidential and exempt from public inspection and copying under chapter 42.56 RCW. This section shall not be interpreted to prohibit:</w:t>
      </w:r>
    </w:p>
    <w:p>
      <w:pPr>
        <w:ind w:left="0" w:right="0" w:firstLine="360"/>
        <w:jc w:val="both"/>
      </w:pPr>
      <w:r>
        <w:rPr/>
        <w:t xml:space="preserve">(1) Making outgoing calls to telephone numbers to provide notification of a community emergency event;</w:t>
      </w:r>
    </w:p>
    <w:p>
      <w:pPr>
        <w:ind w:left="0" w:right="0" w:firstLine="360"/>
        <w:jc w:val="both"/>
      </w:pPr>
      <w:r>
        <w:rPr/>
        <w:t xml:space="preserve">(2) Maintenance of the database by a local agency; or</w:t>
      </w:r>
    </w:p>
    <w:p>
      <w:pPr>
        <w:ind w:left="0" w:right="0" w:firstLine="360"/>
        <w:jc w:val="both"/>
      </w:pPr>
      <w:r>
        <w:rPr/>
        <w:t xml:space="preserve">(3) Inspection or copying by the subject of the information or an authorized representative."</w:t>
      </w:r>
    </w:p>
    <w:p>
      <w:pPr>
        <w:spacing w:before="480" w:after="0" w:line="408" w:lineRule="exact"/>
      </w:pPr>
      <w:r>
        <w:rPr>
          <w:b/>
          <w:u w:val="single"/>
        </w:rPr>
        <w:t xml:space="preserve">ESHB 1980</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ADOPTED AS AMENDED 4/9/2015</w:t>
      </w:r>
    </w:p>
    <w:p>
      <w:pPr>
        <w:ind w:left="0" w:right="0" w:firstLine="360"/>
        <w:jc w:val="both"/>
      </w:pPr>
      <w:r>
        <w:rPr/>
        <w:t xml:space="preserve">On page 1, line 2 of the title, after "committee;" strike the remainder of the title and insert "amending RCW 13.34.100, 42.56.230, and 70.148.060; reenacting and amending RCW 42.56.240 and 42.56.330; and adding new sections to chapter 38.52 RCW."</w:t>
      </w:r>
    </w:p>
    <w:p>
      <w:pPr>
        <w:ind w:left="0" w:right="0" w:firstLine="360"/>
        <w:jc w:val="both"/>
      </w:pPr>
      <w:r>
        <w:rPr>
          <w:u w:val="single"/>
        </w:rPr>
        <w:t xml:space="preserve">EFFECT:</w:t>
      </w:r>
      <w:r>
        <w:rPr/>
        <w:t xml:space="preserve"> (1) Adds language from original bill requiring the results of the Washington State Patrol criminal background check on a guardian ad litem be provided to parties and their attorneys upon the guardian's appointment, but prohibiting disclosure of the FBI criminal background check results.</w:t>
      </w:r>
    </w:p>
    <w:p>
      <w:pPr>
        <w:ind w:left="0" w:right="0" w:firstLine="360"/>
        <w:jc w:val="both"/>
      </w:pPr>
      <w:r>
        <w:rPr/>
        <w:t xml:space="preserve">(2) Removes language expanding the definition of identifying information of a child victim of sexual assault who is under the age of eighteen.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3144de8b6b43f7" /></Relationships>
</file>