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d44942e4a47c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1853-S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S3108.1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1853</w:t>
      </w:r>
      <w:r>
        <w:t xml:space="preserve"> -</w:t>
      </w:r>
      <w:r>
        <w:t xml:space="preserve"> </w:t>
        <w:t xml:space="preserve">S AMD TO EET COMM AMD (S2901.1)</w:t>
      </w:r>
      <w:r>
        <w:t xml:space="preserve"> </w:t>
      </w:r>
      <w:r>
        <w:rPr>
          <w:b/>
        </w:rPr>
        <w:t xml:space="preserve">454</w:t>
      </w:r>
    </w:p>
    <w:p>
      <w:pPr>
        <w:ind w:left="0" w:right="0" w:firstLine="360"/>
        <w:jc w:val="both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ADOPTED 4/15/2015</w:t>
      </w:r>
    </w:p>
    <w:p>
      <w:pPr>
        <w:ind w:left="0" w:right="0" w:firstLine="360"/>
        <w:jc w:val="both"/>
      </w:pPr>
      <w:r>
        <w:rPr/>
        <w:t xml:space="preserve">On page 2, line 4 of the amendment, after "ratepayers" insert ", provided that the capital expenditures do not increase costs to ratepayers in excess of one-quarter of one percent"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Limits the capital expenditures by electrical companies that may be invested for electrical charging equipment to not increase costs to ratepayers in excess of 0.25%.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f278ef604fd7" /></Relationships>
</file>