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57bf7c19a8447c" /></Relationships>
</file>

<file path=word/document.xml><?xml version="1.0" encoding="utf-8"?>
<w:document xmlns:w="http://schemas.openxmlformats.org/wordprocessingml/2006/main">
  <w:body>
    <w:p>
      <w:r>
        <w:rPr>
          <w:b/>
        </w:rPr>
        <w:r>
          <w:rPr/>
          <w:t xml:space="preserve">1853-S</w:t>
        </w:r>
      </w:r>
      <w:r>
        <w:rPr>
          <w:b/>
        </w:rPr>
        <w:t xml:space="preserve"> </w:t>
        <w:t xml:space="preserve">AMS</w:t>
      </w:r>
      <w:r>
        <w:rPr>
          <w:b/>
        </w:rPr>
        <w:t xml:space="preserve"> </w:t>
        <w:r>
          <w:rPr/>
          <w:t xml:space="preserve">ENGR</w:t>
        </w:r>
      </w:r>
      <w:r>
        <w:rPr>
          <w:b/>
        </w:rPr>
        <w:t xml:space="preserve"> </w:t>
        <w:r>
          <w:rPr/>
          <w:t xml:space="preserve">S2901.E</w:t>
        </w:r>
      </w:r>
      <w:r>
        <w:rPr>
          <w:b/>
        </w:rPr>
        <w:t xml:space="preserve"> - NOT FOR FLOOR USE</w:t>
      </w:r>
    </w:p>
    <w:p>
      <w:pPr>
        <w:ind w:left="0" w:right="0" w:firstLine="576"/>
      </w:pPr>
    </w:p>
    <w:p>
      <w:pPr>
        <w:spacing w:before="480" w:after="0" w:line="408" w:lineRule="exact"/>
      </w:pPr>
      <w:r>
        <w:rPr>
          <w:b/>
          <w:u w:val="single"/>
        </w:rPr>
        <w:t xml:space="preserve">SHB 1853</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AND ENGROSSED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pPr>
        <w:ind w:left="0" w:right="0" w:firstLine="360"/>
        <w:jc w:val="both"/>
      </w:pPr>
      <w:r>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pPr>
        <w:ind w:left="0" w:right="0" w:firstLine="360"/>
        <w:jc w:val="both"/>
      </w:pPr>
      <w:r>
        <w:rPr/>
        <w:t xml:space="preserve">(3) The legislature finds that utilities, who are traditionally responsible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ind w:left="0" w:right="0" w:firstLine="360"/>
        <w:jc w:val="both"/>
      </w:pPr>
      <w:r>
        <w:rPr/>
        <w:t xml:space="preserve">(1) In establishing rates for each electrical company regulated under this title, the commission may allow an incentive rate of return on investment on capital expenditures for electric vehicle supply equipment that is deployed for the benefit of ratepayers, provided that the capital expenditures do not increase costs to ratepayers in excess of one-quarter of one percent. The commission must consider and may adopt other policies to improve access to and promote fair competition in the provision of electric vehicle supply equipment.</w:t>
      </w:r>
    </w:p>
    <w:p>
      <w:pPr>
        <w:ind w:left="0" w:right="0" w:firstLine="360"/>
        <w:jc w:val="both"/>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ind w:left="0" w:right="0" w:firstLine="360"/>
        <w:jc w:val="both"/>
      </w:pPr>
      <w:r>
        <w:rPr/>
        <w:t xml:space="preserve">(3) The incentive rate of return on investment authorized in subsection (2) of this section applies only to projects which have been installed after July 1, 2015, and which are reasonably expected, at the time they are placed in the rate base, to result in real and tangible benefits for rate payers by being installed and located where electric vehicles are most likely to be parked for intervals longer than two hours.</w:t>
      </w:r>
    </w:p>
    <w:p>
      <w:pPr>
        <w:ind w:left="0" w:right="0" w:firstLine="360"/>
        <w:jc w:val="both"/>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ind w:left="0" w:right="0" w:firstLine="360"/>
        <w:jc w:val="both"/>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80" w:after="0" w:line="408" w:lineRule="exact"/>
      </w:pPr>
      <w:r>
        <w:rPr>
          <w:b/>
          <w:u w:val="single"/>
        </w:rPr>
        <w:t xml:space="preserve">SHB 1853</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4/15/2015</w:t>
      </w:r>
    </w:p>
    <w:p>
      <w:pPr>
        <w:ind w:left="0" w:right="0" w:firstLine="360"/>
        <w:jc w:val="both"/>
      </w:pPr>
      <w:r>
        <w:rPr/>
        <w:t xml:space="preserve">On page 1, line 2 of the title, after "build-out;" strike the remainder of the title and insert "adding a new section to chapter 80.28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923c96a2b4c68" /></Relationships>
</file>