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01cda90e114162" /></Relationships>
</file>

<file path=word/document.xml><?xml version="1.0" encoding="utf-8"?>
<w:document xmlns:w="http://schemas.openxmlformats.org/wordprocessingml/2006/main">
  <w:body>
    <w:p>
      <w:r>
        <w:rPr>
          <w:b/>
        </w:rPr>
        <w:r>
          <w:rPr/>
          <w:t xml:space="preserve">1851-S</w:t>
        </w:r>
      </w:r>
      <w:r>
        <w:rPr>
          <w:b/>
        </w:rPr>
        <w:t xml:space="preserve"> </w:t>
        <w:t xml:space="preserve">AMS</w:t>
      </w:r>
      <w:r>
        <w:rPr>
          <w:b/>
        </w:rPr>
        <w:t xml:space="preserve"> </w:t>
        <w:r>
          <w:rPr/>
          <w:t xml:space="preserve">KING</w:t>
        </w:r>
      </w:r>
      <w:r>
        <w:rPr>
          <w:b/>
        </w:rPr>
        <w:t xml:space="preserve"> </w:t>
        <w:r>
          <w:rPr/>
          <w:t xml:space="preserve">S3024.1</w:t>
        </w:r>
      </w:r>
      <w:r>
        <w:rPr>
          <w:b/>
        </w:rPr>
        <w:t xml:space="preserve"> - NOT FOR FLOOR USE</w:t>
      </w:r>
    </w:p>
    <w:p>
      <w:pPr>
        <w:ind w:left="0" w:right="0" w:firstLine="576"/>
      </w:pPr>
    </w:p>
    <w:p>
      <w:pPr>
        <w:spacing w:before="480" w:after="0" w:line="408" w:lineRule="exact"/>
      </w:pPr>
      <w:r>
        <w:rPr>
          <w:b/>
          <w:u w:val="single"/>
        </w:rPr>
        <w:t xml:space="preserve">SHB 1851</w:t>
      </w:r>
      <w:r>
        <w:t xml:space="preserve"> -</w:t>
      </w:r>
      <w:r>
        <w:t xml:space="preserve"> </w:t>
        <w:t xml:space="preserve">S AMD</w:t>
      </w:r>
      <w:r>
        <w:t xml:space="preserve"> </w:t>
      </w:r>
      <w:r>
        <w:rPr>
          <w:b/>
        </w:rPr>
        <w:t xml:space="preserve">410</w:t>
      </w:r>
    </w:p>
    <w:p>
      <w:pPr>
        <w:ind w:left="0" w:right="0" w:firstLine="360"/>
        <w:jc w:val="both"/>
      </w:pPr>
      <w:r>
        <w:rPr/>
        <w:t xml:space="preserve">By Senator King</w:t>
      </w:r>
    </w:p>
    <w:p>
      <w:pPr>
        <w:jc w:val="right"/>
      </w:pPr>
      <w:r>
        <w:rPr>
          <w:b/>
        </w:rPr>
        <w:t xml:space="preserve">WITHDRAWN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ind w:left="0" w:right="0" w:firstLine="360"/>
        <w:jc w:val="both"/>
      </w:pPr>
      <w:r>
        <w:rPr/>
        <w:t xml:space="preserve">(1) The repair or replacement of a city, town, or county bridge deemed structurally deficient is exempt from compliance with this chapter as long as the action occurs within the existing right-of-way, except that the repair or replacement may occur outside the existing right-of-way as needed to meet current engineering standards or state or local environmental permit requirements for highway construction as long as the repair or replacement does not result in additional lanes for automobiles. The issuance of applicable state and local agency permits or approvals associated with the repair or replacement of such bridges is also included in this exemption from compliance with this chapter.</w:t>
      </w:r>
    </w:p>
    <w:p>
      <w:pPr>
        <w:ind w:left="0" w:right="0" w:firstLine="360"/>
        <w:jc w:val="both"/>
      </w:pPr>
      <w:r>
        <w:rPr/>
        <w:t xml:space="preserve">(2) For purposes of this section, "structurally deficient" means a bridge that is classified as in poor condition under the state bridge condition rating system and is reported by the state to the national bridge inventory as having a deck, superstructure, or substructure rating of four or below. Structurally deficient bridges are characterized by deteriorated conditions of significant bridge elements and potentially reduced load-carrying capacity. Bridges deemed structurally deficient typically require significant maintenance and repair to remain in service, and require major rehabilitation or replacement to address the underlying deficiency.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28</w:t>
      </w:r>
      <w:r>
        <w:rPr/>
        <w:t xml:space="preserve">.</w:t>
      </w:r>
      <w:r>
        <w:t xml:space="preserve">170</w:t>
      </w:r>
      <w:r>
        <w:rPr/>
        <w:t xml:space="preserve"> and 2006 c 334 s 23 are each amended to read as follows:</w:t>
      </w:r>
    </w:p>
    <w:p>
      <w:pPr>
        <w:ind w:left="0" w:right="0" w:firstLine="360"/>
        <w:jc w:val="both"/>
      </w:pPr>
      <w:r>
        <w:rPr/>
        <w:t xml:space="preserve">(1) Whenever the department finds that as a consequence of accident, natural disaster, or other emergency, an existing state highway is in jeopardy or is rendered impassible in one or both directions and the department further finds that prompt reconstruction, repair, or other work is needed to preserve or restore the highway for public travel, the department may obtain at least three written bids for the work without publishing a call for bids, and the secretary of transportation may award a contract forthwith to the lowest responsible bidder.</w:t>
      </w:r>
    </w:p>
    <w:p>
      <w:pPr>
        <w:ind w:left="0" w:right="0" w:firstLine="360"/>
        <w:jc w:val="both"/>
      </w:pPr>
      <w:r>
        <w:rPr/>
        <w:t xml:space="preserve">The department shall notify any association or organization of contractors filing a request to regularly receive notification. Notification to an association or organization of contractors shall include: (a) The location of the work to be done; (b) the general anticipated nature of the work to be done; and (c) the date determined by the department as reasonable in view of the nature of the work and emergent nature of the problem after which the department will not receive bids.</w:t>
      </w:r>
    </w:p>
    <w:p>
      <w:pPr>
        <w:ind w:left="0" w:right="0" w:firstLine="360"/>
        <w:jc w:val="both"/>
      </w:pPr>
      <w:r>
        <w:rPr/>
        <w:t xml:space="preserve">(2) Whenever the department finds it necessary to protect a highway facility from imminent damage or to perform emergency work to reopen a highway facility, the department may contract for such work on a negotiated basis not to exceed force account rates for a period not to exceed thirty working days.</w:t>
      </w:r>
    </w:p>
    <w:p>
      <w:pPr>
        <w:ind w:left="0" w:right="0" w:firstLine="360"/>
        <w:jc w:val="both"/>
      </w:pPr>
      <w:r>
        <w:rPr/>
        <w:t xml:space="preserve">(3) The secretary shall review any contract exceeding seven hundred thousand dollars awarded under subsection (1) or (2) of this section with the office of financial management within thirty days of the contract award.</w:t>
      </w:r>
    </w:p>
    <w:p>
      <w:pPr>
        <w:ind w:left="0" w:right="0" w:firstLine="360"/>
        <w:jc w:val="both"/>
      </w:pPr>
      <w:r>
        <w:rPr/>
        <w:t xml:space="preserve">(4) Any person, firm, or corporation awarded a contract for work must be prequalified pursuant to RCW 47.28.070 and may be required to furnish a bid deposit or performance bond.</w:t>
      </w:r>
    </w:p>
    <w:p>
      <w:pPr>
        <w:ind w:left="0" w:right="0" w:firstLine="360"/>
        <w:jc w:val="both"/>
      </w:pPr>
      <w:r>
        <w:rPr>
          <w:u w:val="single"/>
        </w:rPr>
        <w:t xml:space="preserve">(5) A city, town, or county may use the contracting process available to the department under subsection (1) of this section for the repair or replacement of a bridge deemed structurally deficient, as defined in section 1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ind w:left="0" w:right="0" w:firstLine="360"/>
        <w:jc w:val="both"/>
      </w:pPr>
      <w:r>
        <w:rPr/>
        <w:t xml:space="preserve">The repair or replacement of a city, town, or county bridge deemed structurally deficient, as defined in section 1 of this act, may use the contracting process available under RCW 47.28.170."</w:t>
      </w:r>
    </w:p>
    <w:p>
      <w:pPr>
        <w:spacing w:before="480" w:after="0" w:line="408" w:lineRule="exact"/>
      </w:pPr>
      <w:r>
        <w:rPr>
          <w:b/>
          <w:u w:val="single"/>
        </w:rPr>
        <w:t xml:space="preserve">SHB 1851</w:t>
      </w:r>
      <w:r>
        <w:t xml:space="preserve"> -</w:t>
      </w:r>
      <w:r>
        <w:t xml:space="preserve"> </w:t>
        <w:t xml:space="preserve">S AMD</w:t>
      </w:r>
      <w:r>
        <w:t xml:space="preserve"> </w:t>
      </w:r>
      <w:r>
        <w:rPr>
          <w:b/>
        </w:rPr>
        <w:t xml:space="preserve">410</w:t>
      </w:r>
    </w:p>
    <w:p>
      <w:pPr>
        <w:ind w:left="0" w:right="0" w:firstLine="360"/>
        <w:jc w:val="both"/>
      </w:pPr>
      <w:r>
        <w:rPr/>
        <w:t xml:space="preserve">By Senator King</w:t>
      </w:r>
    </w:p>
    <w:p>
      <w:pPr>
        <w:jc w:val="right"/>
      </w:pPr>
      <w:r>
        <w:rPr>
          <w:b/>
        </w:rPr>
        <w:t xml:space="preserve">WITHDRAWN 4/15/2015</w:t>
      </w:r>
    </w:p>
    <w:p>
      <w:pPr>
        <w:ind w:left="0" w:right="0" w:firstLine="360"/>
        <w:jc w:val="both"/>
      </w:pPr>
      <w:r>
        <w:rPr/>
        <w:t xml:space="preserve">On page 1, line 3 of the title, after "deficient;" strike the remainder of the title and insert "amending RCW 47.28.170; adding a new section to chapter 43.21C RCW; and adding a new section to chapter 39.04 RCW."</w:t>
      </w:r>
    </w:p>
    <w:p>
      <w:pPr>
        <w:ind w:left="0" w:right="0" w:firstLine="360"/>
        <w:jc w:val="both"/>
      </w:pPr>
      <w:r>
        <w:rPr>
          <w:u w:val="single"/>
        </w:rPr>
        <w:t xml:space="preserve">EFFECT:</w:t>
      </w:r>
      <w:r>
        <w:rPr/>
        <w:t xml:space="preserve"> Restores the original language of the bill. Direction for the department of ecology to amend the categorical exemption available to the department of transportation so that the same categorical exemption applies to structurally deficient city, town, or county bridges is removed. The replacement or repair of city, town, or county bridges that are deemed structurally deficient are exempted from state environmental policy act review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e6371980f4b77" /></Relationships>
</file>