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d7b5acbf824e69" /></Relationships>
</file>

<file path=word/document.xml><?xml version="1.0" encoding="utf-8"?>
<w:document xmlns:w="http://schemas.openxmlformats.org/wordprocessingml/2006/main">
  <w:body>
    <w:p>
      <w:r>
        <w:rPr>
          <w:b/>
        </w:rPr>
        <w:r>
          <w:rPr/>
          <w:t xml:space="preserve">1541-S4</w:t>
        </w:r>
      </w:r>
      <w:r>
        <w:rPr>
          <w:b/>
        </w:rPr>
        <w:t xml:space="preserve"> </w:t>
        <w:t xml:space="preserve">AMS</w:t>
      </w:r>
      <w:r>
        <w:rPr>
          <w:b/>
        </w:rPr>
        <w:t xml:space="preserve"> </w:t>
        <w:r>
          <w:rPr/>
          <w:t xml:space="preserve">WM</w:t>
        </w:r>
      </w:r>
      <w:r>
        <w:rPr>
          <w:b/>
        </w:rPr>
        <w:t xml:space="preserve"> </w:t>
        <w:r>
          <w:rPr/>
          <w:t xml:space="preserve">S5054.1</w:t>
        </w:r>
      </w:r>
      <w:r>
        <w:rPr>
          <w:b/>
        </w:rPr>
        <w:t xml:space="preserve"> - NOT FOR FLOOR USE</w:t>
      </w:r>
    </w:p>
    <w:p>
      <w:pPr>
        <w:ind w:left="0" w:right="0" w:firstLine="576"/>
      </w:pPr>
    </w:p>
    <w:p>
      <w:pPr>
        <w:spacing w:before="480" w:after="0" w:line="408" w:lineRule="exact"/>
      </w:pPr>
      <w:r>
        <w:rPr>
          <w:b/>
          <w:u w:val="single"/>
        </w:rPr>
        <w:t xml:space="preserve">4SHB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subject to the availability of amounts appropriated for this specific purpose,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u w:val="single"/>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w:t>
      </w:r>
    </w:p>
    <w:p>
      <w:pPr>
        <w:spacing w:before="0" w:after="0" w:line="408" w:lineRule="exact"/>
        <w:ind w:left="0" w:right="0" w:firstLine="576"/>
        <w:jc w:val="left"/>
      </w:pPr>
      <w:r>
        <w:rPr>
          <w:u w:val="single"/>
        </w:rPr>
        <w:t xml:space="preserve">(c) Two or more violations of RCW 9A.46.120, 9.41.280, 28A.600.455, 28A.635.020, or 28A.635.060 within a three-year period; or</w:t>
      </w:r>
    </w:p>
    <w:p>
      <w:pPr>
        <w:spacing w:before="0" w:after="0" w:line="408" w:lineRule="exact"/>
        <w:ind w:left="0" w:right="0" w:firstLine="576"/>
        <w:jc w:val="left"/>
      </w:pPr>
      <w:r>
        <w:rPr>
          <w:u w:val="single"/>
        </w:rPr>
        <w:t xml:space="preserve">(d) Behavior that adversely impacts the health or safety of other students or educational staff</w:t>
      </w:r>
      <w:r>
        <w:rPr>
          <w:u w:val="single"/>
        </w:rPr>
        <w:t xml:space="preserve">.</w:t>
      </w:r>
    </w:p>
    <w:p>
      <w:pPr>
        <w:spacing w:before="0" w:after="0" w:line="408" w:lineRule="exact"/>
        <w:ind w:left="0" w:right="0" w:firstLine="576"/>
        <w:jc w:val="left"/>
      </w:pPr>
      <w:r>
        <w:rPr>
          <w:u w:val="single"/>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u w:val="single"/>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u w:val="single"/>
        </w:rPr>
        <w:t xml:space="preserve">(9)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Subject to funds appropriated specifically for this purpose, 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 </w:t>
      </w:r>
      <w:r>
        <w:t>((</w:t>
      </w:r>
      <w:r>
        <w:rPr>
          <w:strike/>
        </w:rPr>
        <w:t xml:space="preserve">to the extent funds are appropriated</w:t>
      </w:r>
      <w:r>
        <w:t>))</w:t>
      </w:r>
      <w:r>
        <w:rPr/>
        <w:t xml:space="preserve"> </w:t>
      </w:r>
      <w:r>
        <w:rPr>
          <w:u w:val="single"/>
        </w:rPr>
        <w:t xml:space="preserve">subject to the availability of amounts appropriated for this specific purpose</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w:t>
      </w:r>
      <w:r>
        <w:t>((</w:t>
      </w:r>
      <w:r>
        <w:rPr>
          <w:strike/>
        </w:rPr>
        <w:t xml:space="preserve">to the extent funds are appropriated for this purpose</w:t>
      </w:r>
      <w:r>
        <w:t>))</w:t>
      </w:r>
      <w:r>
        <w:rPr/>
        <w:t xml:space="preserve"> </w:t>
      </w:r>
      <w:r>
        <w:rPr>
          <w:u w:val="single"/>
        </w:rPr>
        <w:t xml:space="preserve">subject to the availability of amounts appropriated for this specific purpose</w:t>
      </w:r>
      <w:r>
        <w:rPr/>
        <w:t xml:space="preserve">, and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Pr>
        <w:spacing w:before="480" w:after="0" w:line="408" w:lineRule="exact"/>
      </w:pPr>
      <w:r>
        <w:rPr>
          <w:b/>
          <w:u w:val="single"/>
        </w:rPr>
        <w:t xml:space="preserve">4SHB 1541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3 of the title, after "committee;" strike the remainder of the title and insert "amending RCW 28A.600.490, 28A.600.015, 28A.600.020, 28A.600.022, 43.41.400, 28A.405.106, 28A.405.120, 28A.180.040, 28A.180.090, 28A.300.042, 28A.300.505, 28A.300.507, 28A.165.035,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pPr>
        <w:spacing w:before="0" w:after="0" w:line="408" w:lineRule="exact"/>
        <w:ind w:left="0" w:right="0" w:firstLine="576"/>
        <w:jc w:val="left"/>
      </w:pPr>
      <w:r>
        <w:rPr>
          <w:u w:val="single"/>
        </w:rPr>
        <w:t xml:space="preserve">EFFECT:</w:t>
      </w:r>
      <w:r>
        <w:rPr/>
        <w:t xml:space="preserve"> Adds that any imposition of discretionary and nondiscretionary discipline is subject to the bar on suspending the provision of educational services.</w:t>
      </w:r>
    </w:p>
    <w:p>
      <w:pPr>
        <w:spacing w:before="0" w:after="0" w:line="408" w:lineRule="exact"/>
        <w:ind w:left="0" w:right="0" w:firstLine="576"/>
        <w:jc w:val="left"/>
      </w:pPr>
      <w:r>
        <w:rPr/>
        <w:t xml:space="preserve">Adds that behavior that adversely impacts the health or safety of other students or educational staff is not included within the meaning of discretionary discipline.</w:t>
      </w:r>
    </w:p>
    <w:p>
      <w:pPr>
        <w:spacing w:before="0" w:after="0" w:line="408" w:lineRule="exact"/>
        <w:ind w:left="0" w:right="0" w:firstLine="576"/>
        <w:jc w:val="left"/>
      </w:pPr>
      <w:r>
        <w:rPr/>
        <w:t xml:space="preserve">Adds a provision stating that nothing in this section creates any civil liability for school districts or creates a new cause of action.</w:t>
      </w:r>
    </w:p>
    <w:p>
      <w:pPr>
        <w:spacing w:before="0" w:after="0" w:line="408" w:lineRule="exact"/>
        <w:ind w:left="0" w:right="0" w:firstLine="576"/>
        <w:jc w:val="left"/>
      </w:pPr>
      <w:r>
        <w:rPr/>
        <w:t xml:space="preserve">Adds subject to appropriations clauses to the Office of the Superintendent of Public Instruction's (1) development of a cultural competence outline for professional development and training, and (2) technical assistance and support to school districts regarding English language learner instruction.</w:t>
      </w:r>
    </w:p>
    <w:p>
      <w:pPr>
        <w:spacing w:before="0" w:after="0" w:line="408" w:lineRule="exact"/>
        <w:ind w:left="0" w:right="0" w:firstLine="576"/>
        <w:jc w:val="left"/>
      </w:pPr>
      <w:r>
        <w:rPr/>
        <w:t xml:space="preserve">Removes the provision that allows the integrated student supports protocol and services to be supported by the Learning Assistance Program.</w:t>
      </w:r>
    </w:p>
    <w:p>
      <w:pPr>
        <w:spacing w:before="0" w:after="0" w:line="408" w:lineRule="exact"/>
        <w:ind w:left="0" w:right="0" w:firstLine="576"/>
        <w:jc w:val="left"/>
      </w:pPr>
      <w:r>
        <w:rPr/>
        <w:t xml:space="preserve">Provides that school districts are not required to impose long-term suspension or expulsion for behavior that adversely impacts the health or safety of other students or educational staff and should first consider alternative actions.</w:t>
      </w:r>
    </w:p>
    <w:p>
      <w:pPr>
        <w:spacing w:before="0" w:after="0" w:line="408" w:lineRule="exact"/>
        <w:ind w:left="0" w:right="0" w:firstLine="576"/>
        <w:jc w:val="left"/>
      </w:pPr>
      <w:r>
        <w:rPr/>
        <w:t xml:space="preserve">Restores the requirement for OSPI to develop a state menu of best practices for disruptive behaviors in the classroom.</w:t>
      </w:r>
    </w:p>
    <w:p>
      <w:pPr>
        <w:spacing w:before="0" w:after="0" w:line="408" w:lineRule="exact"/>
        <w:ind w:left="0" w:right="0" w:firstLine="576"/>
        <w:jc w:val="left"/>
      </w:pPr>
      <w:r>
        <w:rPr/>
        <w:t xml:space="preserve">Adds or restores subject to appropriations clauses to the following:</w:t>
      </w:r>
    </w:p>
    <w:p>
      <w:pPr>
        <w:spacing w:before="0" w:after="0" w:line="408" w:lineRule="exact"/>
        <w:ind w:left="0" w:right="0" w:firstLine="576"/>
        <w:jc w:val="left"/>
      </w:pPr>
      <w:r>
        <w:rPr/>
        <w:t xml:space="preserve">1. OSPI creation of a school district discipline training program;</w:t>
      </w:r>
    </w:p>
    <w:p>
      <w:pPr>
        <w:spacing w:before="0" w:after="0" w:line="408" w:lineRule="exact"/>
        <w:ind w:left="0" w:right="0" w:firstLine="576"/>
        <w:jc w:val="left"/>
      </w:pPr>
      <w:r>
        <w:rPr/>
        <w:t xml:space="preserve">2. OSPI led task force to review federal race and ethnicity reporting guidelines;</w:t>
      </w:r>
    </w:p>
    <w:p>
      <w:pPr>
        <w:spacing w:before="0" w:after="0" w:line="408" w:lineRule="exact"/>
        <w:ind w:left="0" w:right="0" w:firstLine="576"/>
        <w:jc w:val="left"/>
      </w:pPr>
      <w:r>
        <w:rPr/>
        <w:t xml:space="preserve">3. The Washington integrated student supports protocol (WISSP);</w:t>
      </w:r>
    </w:p>
    <w:p>
      <w:pPr>
        <w:spacing w:before="0" w:after="0" w:line="408" w:lineRule="exact"/>
        <w:ind w:left="0" w:right="0" w:firstLine="576"/>
        <w:jc w:val="left"/>
      </w:pPr>
      <w:r>
        <w:rPr/>
        <w:t xml:space="preserve">4. OSPI led work group for implementing the WISSP; and</w:t>
      </w:r>
    </w:p>
    <w:p>
      <w:pPr>
        <w:spacing w:before="0" w:after="0" w:line="408" w:lineRule="exact"/>
        <w:ind w:left="0" w:right="0" w:firstLine="576"/>
        <w:jc w:val="left"/>
      </w:pPr>
      <w:r>
        <w:rPr/>
        <w:t xml:space="preserve">5. The establishment of the Center for the Improvement of Student Learning at OSPI and the duties of the Center required.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8d48ea996847c1" /></Relationships>
</file>