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187b3ee3fc4693"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ROLF</w:t>
        </w:r>
      </w:r>
      <w:r>
        <w:rPr>
          <w:b/>
        </w:rPr>
        <w:t xml:space="preserve"> </w:t>
        <w:r>
          <w:rPr/>
          <w:t xml:space="preserve">S3096.2</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 TO S AMD (S-3087.1/15)</w:t>
      </w:r>
      <w:r>
        <w:t xml:space="preserve"> </w:t>
      </w:r>
      <w:r>
        <w:rPr>
          <w:b/>
        </w:rPr>
        <w:t xml:space="preserve">450</w:t>
      </w:r>
    </w:p>
    <w:p>
      <w:pPr>
        <w:ind w:left="0" w:right="0" w:firstLine="360"/>
        <w:jc w:val="both"/>
      </w:pPr>
      <w:r>
        <w:rPr/>
        <w:t xml:space="preserve">By Senator Rolfes</w:t>
      </w:r>
    </w:p>
    <w:p>
      <w:pPr>
        <w:jc w:val="right"/>
      </w:pPr>
      <w:r>
        <w:rPr>
          <w:b/>
        </w:rPr>
        <w:t xml:space="preserve">NOT ADOPTED 4/15/2015</w:t>
      </w:r>
    </w:p>
    <w:p>
      <w:pPr>
        <w:ind w:left="0" w:right="0" w:firstLine="360"/>
        <w:jc w:val="both"/>
      </w:pPr>
      <w:r>
        <w:rPr/>
        <w:t xml:space="preserve">On page 17, after line 17 of the amendment, insert the following:</w:t>
      </w:r>
    </w:p>
    <w:p>
      <w:pPr>
        <w:ind w:left="0" w:right="0" w:firstLine="360"/>
        <w:jc w:val="both"/>
      </w:pPr>
      <w:r>
        <w:t>"</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ind w:left="0" w:right="0" w:firstLine="360"/>
        <w:jc w:val="both"/>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ind w:left="0" w:right="0" w:firstLine="360"/>
        <w:jc w:val="both"/>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ind w:left="0" w:right="0" w:firstLine="360"/>
        <w:jc w:val="both"/>
      </w:pPr>
      <w:r>
        <w:rPr>
          <w:strike/>
        </w:rPr>
        <w:t xml:space="preserve">(a) Shaft horsepower in the ratio of one horsepower to each two and one-half deadweight tons; and</w:t>
      </w:r>
    </w:p>
    <w:p>
      <w:pPr>
        <w:ind w:left="0" w:right="0" w:firstLine="360"/>
        <w:jc w:val="both"/>
      </w:pPr>
      <w:r>
        <w:rPr>
          <w:strike/>
        </w:rPr>
        <w:t xml:space="preserve">(b) Twin screws; and</w:t>
      </w:r>
    </w:p>
    <w:p>
      <w:pPr>
        <w:ind w:left="0" w:right="0" w:firstLine="360"/>
        <w:jc w:val="both"/>
      </w:pPr>
      <w:r>
        <w:rPr>
          <w:strike/>
        </w:rPr>
        <w:t xml:space="preserve">(c) Double bottoms, underneath all oil and liquid cargo compartments; and</w:t>
      </w:r>
    </w:p>
    <w:p>
      <w:pPr>
        <w:ind w:left="0" w:right="0" w:firstLine="360"/>
        <w:jc w:val="both"/>
      </w:pPr>
      <w:r>
        <w:rPr>
          <w:strike/>
        </w:rPr>
        <w:t xml:space="preserve">(d) Two radars in working order and operating, one of which must be collision avoidance radar; and</w:t>
      </w:r>
    </w:p>
    <w:p>
      <w:pPr>
        <w:ind w:left="0" w:right="0" w:firstLine="360"/>
        <w:jc w:val="both"/>
      </w:pPr>
      <w:r>
        <w:rPr>
          <w:strike/>
        </w:rPr>
        <w:t xml:space="preserve">(e) Such other navigational position location systems as may be prescribed from time to time by the board of pilotage commissioners:</w:t>
      </w:r>
    </w:p>
    <w:p>
      <w:pPr>
        <w:ind w:left="0" w:right="0" w:firstLine="360"/>
        <w:jc w:val="both"/>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(a) Except as provided in subsection (2) of this section, an oil tanker of greater than forty thousand deadweight tons may operate in the waters east of a line extending from Discovery Island light south to New Dungeness light and all points in the Puget Sound area, to the extent that these waters are within the territorial boundaries of Washington, only if the oil tanker is under the escort of a tug or tugs in compliance with the requirements of subsection (3) of this section.</w:t>
      </w:r>
    </w:p>
    <w:p>
      <w:pPr>
        <w:ind w:left="0" w:right="0" w:firstLine="360"/>
        <w:jc w:val="both"/>
      </w:pPr>
      <w:r>
        <w:rPr>
          <w:u w:val="single"/>
        </w:rPr>
        <w:t xml:space="preserve">(b) The state board of pilotage commissioners, in consultation with the department of ecology and relying on the results of vessel traffic risk assessments, shall adopt rules by June 30, 2017, to implement this subsection (1)(b). These rules may include tug escort requirements and other safety measures for oil tankers of greater than forty thousand deadweight tons, all articulated tug barges, and other towed waterborne vessels or barges. The geographic scope of the rules must be limited to the narrow channels of the San Juan Islands archipelago, including Rosario Strait, Haro Strait, Boundary Pass, and connected waterways. In order to adopt a rule under this section, the board of pilotage commissioners must determine that the results of a vessel traffic risk assessment provides evidence that the rules are necessary in order to achieve best achievable protection as defined in RCW 88.46.010.</w:t>
      </w:r>
    </w:p>
    <w:p>
      <w:pPr>
        <w:ind w:left="0" w:right="0" w:firstLine="360"/>
        <w:jc w:val="both"/>
      </w:pPr>
      <w:r>
        <w:rPr>
          <w:u w:val="single"/>
        </w:rPr>
        <w:t xml:space="preserve">(2)(a) If an oil tanker, articulated tug barge, or other towed waterborne vessel or barge is in ballast, the tug escort requirements of subsection (1)(a) of this section and any tug escort rules adopted pursuant to subsection (1)(b) of this section do not apply.</w:t>
      </w:r>
    </w:p>
    <w:p>
      <w:pPr>
        <w:ind w:left="0" w:right="0" w:firstLine="360"/>
        <w:jc w:val="both"/>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ind w:left="0" w:right="0" w:firstLine="360"/>
        <w:jc w:val="both"/>
      </w:pPr>
      <w:r>
        <w:rPr>
          <w:u w:val="single"/>
        </w:rPr>
        <w:t xml:space="preserve">(3)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state board of pilotage commissioners may adopt rules to ensure that escort tugs have sufficient mechanical capabilities to provide for safe escort. Rules adopted on this subject must be designed to achieve best achievable protection as defined under RCW 88.46.010.</w:t>
      </w:r>
    </w:p>
    <w:p>
      <w:pPr>
        <w:ind w:left="0" w:right="0" w:firstLine="360"/>
        <w:jc w:val="both"/>
      </w:pPr>
      <w:r>
        <w:rPr>
          <w:u w:val="single"/>
        </w:rPr>
        <w:t xml:space="preserve">(4) A</w:t>
      </w:r>
      <w:r>
        <w:rPr/>
        <w:t xml:space="preserve"> tanker assigned a deadweight of less than </w:t>
      </w:r>
      <w:r>
        <w:rPr>
          <w:u w:val="single"/>
        </w:rPr>
        <w:t xml:space="preserve">or equal to</w:t>
      </w:r>
      <w:r>
        <w:rPr/>
        <w:t xml:space="preserve"> forty thousand deadweight tons at the time of construction or reconstruction as reported in Lloyd's Register of Ships is not subject to the provisions of RCW 88.16.170 through 88.16.190.</w:t>
      </w:r>
    </w:p>
    <w:p>
      <w:pPr>
        <w:ind w:left="0" w:right="0" w:firstLine="360"/>
        <w:jc w:val="both"/>
      </w:pPr>
      <w:r>
        <w:rPr>
          <w:u w:val="single"/>
        </w:rPr>
        <w:t xml:space="preserve">(5) The provisions adopted under this section may not include rules affecting pilotage. This section does not affect any existing authority to establish pilotage requirements.</w:t>
      </w:r>
    </w:p>
    <w:p>
      <w:pPr>
        <w:ind w:left="0" w:right="0" w:firstLine="360"/>
        <w:jc w:val="both"/>
      </w:pPr>
      <w:r>
        <w:rPr>
          <w:u w:val="single"/>
        </w:rPr>
        <w:t xml:space="preserve">(6) For the purposes of this section:</w:t>
      </w:r>
    </w:p>
    <w:p>
      <w:pPr>
        <w:ind w:left="0" w:right="0" w:firstLine="360"/>
        <w:jc w:val="both"/>
      </w:pPr>
      <w:r>
        <w:rPr>
          <w:u w:val="single"/>
        </w:rPr>
        <w:t xml:space="preserve">(a) "Articulated tug barge" means a tank barge and a towing vessel joined by hinged or articulated fixed mechanical equipment affixed or connecting to the stern of the tank barge.</w:t>
      </w:r>
    </w:p>
    <w:p>
      <w:pPr>
        <w:ind w:left="0" w:right="0" w:firstLine="360"/>
        <w:jc w:val="both"/>
      </w:pPr>
      <w:r>
        <w:rPr>
          <w:u w:val="single"/>
        </w:rPr>
        <w:t xml:space="preserve">(b) "Oil tanker" means a self-propelled deep draft tank vessel designed to transport oil in bulk. "Oil tanker" does not include an articulated tug barge tank vessel.</w:t>
      </w:r>
    </w:p>
    <w:p>
      <w:pPr>
        <w:ind w:left="0" w:right="0" w:firstLine="360"/>
        <w:jc w:val="both"/>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r>
        <w:rPr/>
        <w:t xml:space="preserve">"</w:t>
      </w:r>
    </w:p>
    <w:p>
      <w:pPr>
        <w:ind w:left="0" w:right="0" w:firstLine="360"/>
        <w:jc w:val="both"/>
      </w:pPr>
      <w:r>
        <w:rPr/>
        <w:t xml:space="preserve">Renumber the remaining sections consecutively and correct any internal references accordingly.</w:t>
      </w:r>
    </w:p>
    <w:p>
      <w:pPr>
        <w:spacing w:before="480" w:after="0" w:line="408" w:lineRule="exact"/>
      </w:pPr>
      <w:r>
        <w:rPr>
          <w:b/>
          <w:u w:val="single"/>
        </w:rPr>
        <w:t xml:space="preserve">ESHB 1449</w:t>
      </w:r>
      <w:r>
        <w:t xml:space="preserve"> -</w:t>
      </w:r>
      <w:r>
        <w:t xml:space="preserve"> </w:t>
        <w:t xml:space="preserve">S AMD TO S AMD (S-3087.1/15)</w:t>
      </w:r>
      <w:r>
        <w:t xml:space="preserve"> </w:t>
      </w:r>
      <w:r>
        <w:rPr>
          <w:b/>
        </w:rPr>
        <w:t xml:space="preserve">450</w:t>
      </w:r>
    </w:p>
    <w:p>
      <w:pPr>
        <w:ind w:left="0" w:right="0" w:firstLine="360"/>
        <w:jc w:val="both"/>
      </w:pPr>
      <w:r>
        <w:rPr/>
        <w:t xml:space="preserve">By Senator Rolfes</w:t>
      </w:r>
    </w:p>
    <w:p>
      <w:pPr>
        <w:jc w:val="right"/>
      </w:pPr>
      <w:r>
        <w:rPr>
          <w:b/>
        </w:rPr>
        <w:t xml:space="preserve">NOT ADOPTED 4/15/2015</w:t>
      </w:r>
    </w:p>
    <w:p>
      <w:pPr>
        <w:ind w:left="0" w:right="0" w:firstLine="360"/>
        <w:jc w:val="both"/>
      </w:pPr>
      <w:r>
        <w:rPr/>
        <w:t xml:space="preserve">On page 29, line 26 of the title amendment, after "90.56.010," insert "88.16.190,"</w:t>
      </w:r>
    </w:p>
    <w:p>
      <w:pPr>
        <w:ind w:left="0" w:right="0" w:firstLine="360"/>
        <w:jc w:val="both"/>
      </w:pPr>
      <w:r>
        <w:rPr>
          <w:u w:val="single"/>
        </w:rPr>
        <w:t xml:space="preserve">EFFECT:</w:t>
      </w:r>
      <w:r>
        <w:rPr/>
        <w:t xml:space="preserve"> Requires the pilotage commission to adopt tug escort and safety rules for Puget Sound by June 30,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84fe62b55c4585" /></Relationships>
</file>