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745da5a205499e"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RANK</w:t>
        </w:r>
      </w:r>
      <w:r>
        <w:rPr>
          <w:b/>
        </w:rPr>
        <w:t xml:space="preserve"> </w:t>
        <w:r>
          <w:rPr/>
          <w:t xml:space="preserve">S3097.2</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 TO S AMD (S-3087.1/15)</w:t>
      </w:r>
      <w:r>
        <w:t xml:space="preserve"> </w:t>
      </w:r>
      <w:r>
        <w:rPr>
          <w:b/>
        </w:rPr>
        <w:t xml:space="preserve">451</w:t>
      </w:r>
    </w:p>
    <w:p>
      <w:pPr>
        <w:ind w:left="0" w:right="0" w:firstLine="360"/>
        <w:jc w:val="both"/>
      </w:pPr>
      <w:r>
        <w:rPr/>
        <w:t xml:space="preserve">By Senator Ranker</w:t>
      </w:r>
    </w:p>
    <w:p>
      <w:pPr>
        <w:jc w:val="right"/>
      </w:pPr>
      <w:r>
        <w:rPr>
          <w:b/>
        </w:rPr>
        <w:t xml:space="preserve">NOT ADOPTED 4/15/2015</w:t>
      </w:r>
    </w:p>
    <w:p>
      <w:pPr>
        <w:ind w:left="0" w:right="0" w:firstLine="360"/>
        <w:jc w:val="both"/>
      </w:pPr>
      <w:r>
        <w:rPr/>
        <w:t xml:space="preserve">Beginning on page 5, line 36 of the amendment, strike all of section 6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place of origin of the crude oil, type, and gravity of crude oil as measured by standards developed by the American petroleum institute.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ind w:left="0" w:right="0" w:firstLine="360"/>
        <w:jc w:val="both"/>
      </w:pPr>
      <w:r>
        <w:rPr/>
        <w:t xml:space="preserve">(b) Twice per year, pipelines must report to the department the following information about the crude oil transported by the pipeline through the state: The volume of crude oil, the type of crude oil, and the types of diluting agents used in the crude oil. This report must be submitted each year by July 31st for the period January 1st through June 30th and by January 31st for the period July 1st through December 31st. </w:t>
      </w:r>
    </w:p>
    <w:p>
      <w:pPr>
        <w:ind w:left="0" w:right="0" w:firstLine="360"/>
        <w:jc w:val="both"/>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ind w:left="0" w:right="0" w:firstLine="360"/>
        <w:jc w:val="both"/>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of the crude oil, modes of transport, number of railroad cars delivering crude oil, and number and volume of spills during transport and delivery.</w:t>
      </w:r>
    </w:p>
    <w:p>
      <w:pPr>
        <w:ind w:left="0" w:right="0" w:firstLine="360"/>
        <w:jc w:val="both"/>
      </w:pPr>
      <w:r>
        <w:rPr/>
        <w:t xml:space="preserve">(4)(a)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ind w:left="0" w:right="0" w:firstLine="360"/>
        <w:jc w:val="both"/>
      </w:pPr>
      <w:r>
        <w:rPr/>
        <w:t xml:space="preserve">(b) Twice per year, a facility must submit a report to the department that corrects inaccuracies in the advance notices submitted under subsection (1) of this section. The facility is not required to correct in the report any insubstantial discrepancies between actual and scheduled train arrival times. The report must be submitted each year by July 31st for the period January 1st through June 30th and by January 31st for the period July 1st through December 31st.</w:t>
      </w:r>
    </w:p>
    <w:p>
      <w:pPr>
        <w:ind w:left="0" w:right="0" w:firstLine="360"/>
        <w:jc w:val="both"/>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is not aggregated and that contains proprietary, commercial, or financial information. The requirement for aggregating information does not apply when information is shared by the department with emergency response agencies as provided in subsection (2) of this section.</w:t>
      </w:r>
    </w:p>
    <w:p>
      <w:pPr>
        <w:ind w:left="0" w:right="0" w:firstLine="360"/>
        <w:jc w:val="both"/>
      </w:pPr>
      <w:r>
        <w:rPr/>
        <w:t xml:space="preserve">(6) The department shall adopt rules to implement this section. The advance notice system required in this section must be consistent with the oil transfer reporting system adopted by the department pursuant to RCW 88.46.165."</w:t>
      </w:r>
    </w:p>
    <w:p>
      <w:pPr>
        <w:ind w:left="0" w:right="0" w:firstLine="360"/>
        <w:jc w:val="both"/>
      </w:pPr>
      <w:r>
        <w:rPr>
          <w:u w:val="single"/>
        </w:rPr>
        <w:t xml:space="preserve">EFFECT:</w:t>
      </w:r>
      <w:r>
        <w:rPr/>
        <w:t xml:space="preserve"> Requires place of origin and gravity of crude oil to be provided in advance notice by railroads. Requires pipelines to report twice per year the volume of crude oil, the type of crude oil, and the types of diluting agents used in the crude oil. Facilities are required to correct inaccuracies in advance notices twice per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179eb460b64b20" /></Relationships>
</file>