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d3a847e4d64cfe" /></Relationships>
</file>

<file path=word/document.xml><?xml version="1.0" encoding="utf-8"?>
<w:document xmlns:w="http://schemas.openxmlformats.org/wordprocessingml/2006/main">
  <w:body>
    <w:p>
      <w:r>
        <w:rPr>
          <w:b/>
        </w:rPr>
        <w:r>
          <w:rPr/>
          <w:t xml:space="preserve">1397</w:t>
        </w:r>
      </w:r>
      <w:r>
        <w:rPr>
          <w:b/>
        </w:rPr>
        <w:t xml:space="preserve"> </w:t>
        <w:t xml:space="preserve">AMS</w:t>
      </w:r>
      <w:r>
        <w:rPr>
          <w:b/>
        </w:rPr>
        <w:t xml:space="preserve"> </w:t>
        <w:r>
          <w:rPr/>
          <w:t xml:space="preserve">GOS</w:t>
        </w:r>
      </w:r>
      <w:r>
        <w:rPr>
          <w:b/>
        </w:rPr>
        <w:t xml:space="preserve"> </w:t>
        <w:r>
          <w:rPr/>
          <w:t xml:space="preserve">S2891.1</w:t>
        </w:r>
      </w:r>
      <w:r>
        <w:rPr>
          <w:b/>
        </w:rPr>
        <w:t xml:space="preserve"> - NOT FOR FLOOR USE</w:t>
      </w:r>
    </w:p>
    <w:p>
      <w:pPr>
        <w:spacing w:before="480" w:after="0" w:line="408" w:lineRule="exact"/>
      </w:pPr>
      <w:r>
        <w:rPr>
          <w:b/>
          <w:u w:val="single"/>
        </w:rPr>
        <w:t xml:space="preserve">HB 1397</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ind w:left="0" w:right="0" w:firstLine="360"/>
        <w:jc w:val="both"/>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only after a hearing is held and the suspension or modification receives approval from a majority of the commission. </w:t>
      </w:r>
      <w:r>
        <w:rPr>
          <w:u w:val="single"/>
        </w:rPr>
        <w:t xml:space="preserve">A suspension or modification of the financial affairs reporting requirements in RCW 42.17A.710 may be approved for an elected official's time in office, or for up to three years for an executive state officer, where no material change in the applicant's circumstances is anticipated.</w:t>
      </w:r>
      <w:r>
        <w:rPr/>
        <w:t xml:space="preserve"> The commission shall act to suspend or modify any reporting requirements:</w:t>
      </w:r>
    </w:p>
    <w:p>
      <w:pPr>
        <w:ind w:left="0" w:right="0" w:firstLine="360"/>
        <w:jc w:val="both"/>
      </w:pPr>
      <w:r>
        <w:rPr/>
        <w:t xml:space="preserve">(a) Only if it determines that facts exist that are clear and convincing proof of the findings required under this section; and</w:t>
      </w:r>
    </w:p>
    <w:p>
      <w:pPr>
        <w:ind w:left="0" w:right="0" w:firstLine="360"/>
        <w:jc w:val="both"/>
      </w:pPr>
      <w:r>
        <w:rPr/>
        <w:t xml:space="preserve">(b) Only to the extent necessary to substantially relieve the hardship.</w:t>
      </w:r>
    </w:p>
    <w:p>
      <w:pPr>
        <w:ind w:left="0" w:right="0" w:firstLine="360"/>
        <w:jc w:val="both"/>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his or her immediate family, holds any office, directorship, general partnership interest, or an ownership interest of ten percent or more.</w:t>
      </w:r>
    </w:p>
    <w:p>
      <w:pPr>
        <w:ind w:left="0" w:right="0" w:firstLine="360"/>
        <w:jc w:val="both"/>
      </w:pPr>
      <w:r>
        <w:rPr/>
        <w:t xml:space="preserve">(3) Requests for renewals of reporting modifications may be heard in a brief adjudicative proceeding as set forth in RCW 34.05.482 through 34.05.494 and in accordance with the standards established in this section. 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p>
    <w:p>
      <w:pPr>
        <w:ind w:left="0" w:right="0" w:firstLine="360"/>
        <w:jc w:val="both"/>
      </w:pPr>
      <w:r>
        <w:rPr/>
        <w:t xml:space="preserve">(4) Any citizen has standing to bring an action in Thurston county superior court to contest the propriety of any order entered under this section within one year from the date of the entry of the order.</w:t>
      </w:r>
    </w:p>
    <w:p>
      <w:pPr>
        <w:ind w:left="0" w:right="0" w:firstLine="360"/>
        <w:jc w:val="both"/>
      </w:pPr>
      <w:r>
        <w:rPr/>
        <w:t xml:space="preserve">(5) The commission shall adopt rules governing the proceedings.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ind w:left="0" w:right="0" w:firstLine="360"/>
        <w:jc w:val="both"/>
      </w:pPr>
      <w:r>
        <w:rPr/>
        <w:t xml:space="preserve">(1) The statement of financial affairs required by RCW 42.17A.700 shall disclose the following information for the reporting individual and each member of his or her immediate family:</w:t>
      </w:r>
    </w:p>
    <w:p>
      <w:pPr>
        <w:ind w:left="0" w:right="0" w:firstLine="360"/>
        <w:jc w:val="both"/>
      </w:pPr>
      <w:r>
        <w:rPr/>
        <w:t xml:space="preserve">(a) Occupation, name of employer, and business address; </w:t>
      </w:r>
    </w:p>
    <w:p>
      <w:pPr>
        <w:ind w:left="0" w:right="0" w:firstLine="360"/>
        <w:jc w:val="both"/>
      </w:pPr>
      <w:r>
        <w:rPr/>
        <w:t xml:space="preserve">(b)</w:t>
      </w:r>
      <w:r>
        <w:rPr>
          <w:u w:val="single"/>
        </w:rPr>
        <w:t xml:space="preserve">(i)</w:t>
      </w:r>
      <w:r>
        <w:rPr/>
        <w:t xml:space="preserve"> Each bank account, savings account, and insurance policy in which a direct financial interest was held that exceeds </w:t>
      </w:r>
      <w:r>
        <w:t>((</w:t>
      </w:r>
      <w:r>
        <w:rPr>
          <w:strike/>
        </w:rPr>
        <w:t xml:space="preserve">twenty</w:t>
      </w:r>
      <w:r>
        <w:t>))</w:t>
      </w:r>
      <w:r>
        <w:rPr/>
        <w:t xml:space="preserve"> </w:t>
      </w:r>
      <w:r>
        <w:rPr>
          <w:u w:val="single"/>
        </w:rPr>
        <w:t xml:space="preserve">twenty-four</w:t>
      </w:r>
      <w:r>
        <w:rPr/>
        <w:t xml:space="preserve"> thousand dollars at any time during the reporting period </w:t>
      </w:r>
      <w:r>
        <w:rPr>
          <w:u w:val="single"/>
        </w:rPr>
        <w:t xml:space="preserve">and its highest value during the reporting period</w:t>
      </w:r>
      <w:r>
        <w:rPr/>
        <w:t xml:space="preserve">; </w:t>
      </w:r>
      <w:r>
        <w:rPr>
          <w:u w:val="single"/>
        </w:rPr>
        <w:t xml:space="preserve">and</w:t>
      </w:r>
    </w:p>
    <w:p>
      <w:pPr>
        <w:ind w:left="0" w:right="0" w:firstLine="360"/>
        <w:jc w:val="both"/>
      </w:pPr>
      <w:r>
        <w:rPr>
          <w:u w:val="single"/>
        </w:rPr>
        <w:t xml:space="preserve">(ii) E</w:t>
      </w:r>
      <w:r>
        <w:rPr/>
        <w:t xml:space="preserve">ach other item of intangible personal property in which a direct financial interest was held that exceeds </w:t>
      </w:r>
      <w:r>
        <w:t>((</w:t>
      </w:r>
      <w:r>
        <w:rPr>
          <w:strike/>
        </w:rPr>
        <w:t xml:space="preserve">two</w:t>
      </w:r>
      <w:r>
        <w:t>))</w:t>
      </w:r>
      <w:r>
        <w:rPr/>
        <w:t xml:space="preserve"> </w:t>
      </w:r>
      <w:r>
        <w:rPr>
          <w:u w:val="single"/>
        </w:rPr>
        <w:t xml:space="preserve">five</w:t>
      </w:r>
      <w:r>
        <w:rPr/>
        <w:t xml:space="preserve"> thousand dollars during the reporting period</w:t>
      </w:r>
      <w:r>
        <w:t>((</w:t>
      </w:r>
      <w:r>
        <w:rPr>
          <w:strike/>
        </w:rPr>
        <w:t xml:space="preserve">; the name, address, and nature of the entity; and the nature and highest value of each direct financial interest during the reporting period</w:t>
      </w:r>
      <w:r>
        <w:t>))</w:t>
      </w:r>
      <w:r>
        <w:rPr>
          <w:u w:val="single"/>
        </w:rPr>
        <w:t xml:space="preserve">. For each reportable interest under this subsection (1)(b)(ii), the disclosure must include the name and nature of the direct financial interest and its value. For purposes of reporting the value of any reportable direct financial interest held on December 31st of the reporting period, the year-end value may be used. When reporting the value of any reportable direct financial interest not held on December 31st of the reporting period, the highest value during the reporting period must be used. Ownership of shares of multiple mutual funds within the same mutual fund family may be disclosed by reporting the mutual fund family name</w:t>
      </w:r>
      <w:r>
        <w:rPr/>
        <w:t xml:space="preserve">;</w:t>
      </w:r>
    </w:p>
    <w:p>
      <w:pPr>
        <w:ind w:left="0" w:right="0" w:firstLine="360"/>
        <w:jc w:val="both"/>
      </w:pPr>
      <w:r>
        <w:rPr/>
        <w:t xml:space="preserve">(c) The name and address of each creditor to whom the value of two thousand </w:t>
      </w:r>
      <w:r>
        <w:rPr>
          <w:u w:val="single"/>
        </w:rPr>
        <w:t xml:space="preserve">four hundred</w:t>
      </w:r>
      <w:r>
        <w:rPr/>
        <w:t xml:space="preserve">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ind w:left="0" w:right="0" w:firstLine="360"/>
        <w:jc w:val="both"/>
      </w:pPr>
      <w:r>
        <w:rPr/>
        <w:t xml:space="preserve">(d) Every public or private office, directorship, and position held as trustee; </w:t>
      </w:r>
    </w:p>
    <w:p>
      <w:pPr>
        <w:ind w:left="0" w:right="0" w:firstLine="360"/>
        <w:jc w:val="both"/>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his or her service in office; the description of such actual or proposed legislation, rules, rates, or standards; and the amount of current or deferred compensation paid or promised to be paid; </w:t>
      </w:r>
    </w:p>
    <w:p>
      <w:pPr>
        <w:ind w:left="0" w:right="0" w:firstLine="360"/>
        <w:jc w:val="both"/>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w:t>
      </w:r>
      <w:r>
        <w:rPr>
          <w:u w:val="single"/>
        </w:rPr>
        <w:t xml:space="preserve">four hundred</w:t>
      </w:r>
      <w:r>
        <w:rPr/>
        <w:t xml:space="preserve"> dollars or more; the value of the compensation; and the consideration given or performed in exchange for the compensation; </w:t>
      </w:r>
    </w:p>
    <w:p>
      <w:pPr>
        <w:ind w:left="0" w:right="0" w:firstLine="360"/>
        <w:jc w:val="both"/>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w:t>
      </w:r>
      <w:r>
        <w:t>((</w:t>
      </w:r>
      <w:r>
        <w:rPr>
          <w:strike/>
        </w:rPr>
        <w:t xml:space="preserve">ten</w:t>
      </w:r>
      <w:r>
        <w:t>))</w:t>
      </w:r>
      <w:r>
        <w:rPr/>
        <w:t xml:space="preserve"> </w:t>
      </w:r>
      <w:r>
        <w:rPr>
          <w:u w:val="single"/>
        </w:rPr>
        <w:t xml:space="preserve">twelve</w:t>
      </w:r>
      <w:r>
        <w:rPr/>
        <w:t xml:space="preserve">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w:t>
      </w:r>
      <w:r>
        <w:t>((</w:t>
      </w:r>
      <w:r>
        <w:rPr>
          <w:strike/>
        </w:rPr>
        <w:t xml:space="preserve">four</w:t>
      </w:r>
      <w:r>
        <w:t>))</w:t>
      </w:r>
      <w:r>
        <w:rPr/>
        <w:t xml:space="preserve"> </w:t>
      </w:r>
      <w:r>
        <w:rPr>
          <w:u w:val="single"/>
        </w:rPr>
        <w:t xml:space="preserve">nine</w:t>
      </w:r>
      <w:r>
        <w:rPr/>
        <w:t xml:space="preserve"> hundred dollars; </w:t>
      </w:r>
    </w:p>
    <w:p>
      <w:pPr>
        <w:ind w:left="0" w:right="0" w:firstLine="360"/>
        <w:jc w:val="both"/>
      </w:pPr>
      <w:r>
        <w:rPr/>
        <w:t xml:space="preserve">(h) A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any direct financial interest was acquired during the preceding calendar year, and a statement of the amount and nature of the financial interest and of the consideration given in exchange for that interest; </w:t>
      </w:r>
    </w:p>
    <w:p>
      <w:pPr>
        <w:ind w:left="0" w:right="0" w:firstLine="360"/>
        <w:jc w:val="both"/>
      </w:pPr>
      <w:r>
        <w:rPr/>
        <w:t xml:space="preserve">(i) A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ind w:left="0" w:right="0" w:firstLine="360"/>
        <w:jc w:val="both"/>
      </w:pPr>
      <w:r>
        <w:rPr/>
        <w:t xml:space="preserve">(j) A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 direct financial interest was held. If a description of the property has been included in a report previously filed, the property may be listed, for purposes of this subsection (1)(j), by reference to the previously filed report; </w:t>
      </w:r>
    </w:p>
    <w:p>
      <w:pPr>
        <w:ind w:left="0" w:right="0" w:firstLine="360"/>
        <w:jc w:val="both"/>
      </w:pPr>
      <w:r>
        <w:rPr/>
        <w:t xml:space="preserve">(k) A list, including legal or other sufficient descriptions as prescribed by the commission, of all real property in the state of Washington, the assessed valuation of which exceeds </w:t>
      </w:r>
      <w:r>
        <w:t>((</w:t>
      </w:r>
      <w:r>
        <w:rPr>
          <w:strike/>
        </w:rPr>
        <w:t xml:space="preserve">twenty</w:t>
      </w:r>
      <w:r>
        <w:t>))</w:t>
      </w:r>
      <w:r>
        <w:rPr/>
        <w:t xml:space="preserve"> </w:t>
      </w:r>
      <w:r>
        <w:rPr>
          <w:u w:val="single"/>
        </w:rPr>
        <w:t xml:space="preserve">twenty-four</w:t>
      </w:r>
      <w:r>
        <w:rPr/>
        <w:t xml:space="preserve"> thousand dollars, in which a corporation, partnership, firm, enterprise, or other entity had a direct financial interest, in which corporation, partnership, firm, or enterprise a ten percent or greater ownership interest was held; </w:t>
      </w:r>
    </w:p>
    <w:p>
      <w:pPr>
        <w:ind w:left="0" w:right="0" w:firstLine="360"/>
        <w:jc w:val="both"/>
      </w:pPr>
      <w:r>
        <w:rPr/>
        <w:t xml:space="preserve">(l) A list of each occasion, specifying date, donor, and amount, at which food and beverage in excess of fifty dollars was accepted under RCW 42.52.150(5); </w:t>
      </w:r>
    </w:p>
    <w:p>
      <w:pPr>
        <w:ind w:left="0" w:right="0" w:firstLine="360"/>
        <w:jc w:val="both"/>
      </w:pPr>
      <w:r>
        <w:rPr/>
        <w:t xml:space="preserve">(m) A list of each occasion, specifying date, donor, and amount, at which items specified in RCW 42.52.010</w:t>
      </w:r>
      <w:r>
        <w:t>((</w:t>
      </w:r>
      <w:r>
        <w:rPr>
          <w:strike/>
        </w:rPr>
        <w:t xml:space="preserve">(10)</w:t>
      </w:r>
      <w:r>
        <w:t>))</w:t>
      </w:r>
      <w:r>
        <w:rPr/>
        <w:t xml:space="preserve"> </w:t>
      </w:r>
      <w:r>
        <w:rPr>
          <w:u w:val="single"/>
        </w:rPr>
        <w:t xml:space="preserve">(9)</w:t>
      </w:r>
      <w:r>
        <w:rPr/>
        <w:t xml:space="preserve"> (d) and (f) were accepted; and</w:t>
      </w:r>
    </w:p>
    <w:p>
      <w:pPr>
        <w:ind w:left="0" w:right="0" w:firstLine="360"/>
        <w:jc w:val="both"/>
      </w:pPr>
      <w:r>
        <w:rPr/>
        <w:t xml:space="preserve">(n) Such other information as the commission may deem necessary in order to properly carry out the purposes and policies of this chapter, as the commission shall prescribe by rule.</w:t>
      </w:r>
    </w:p>
    <w:p>
      <w:pPr>
        <w:ind w:left="0" w:right="0" w:firstLine="360"/>
        <w:jc w:val="both"/>
      </w:pPr>
      <w:r>
        <w:rPr/>
        <w:t xml:space="preserve">(2)  Where an amount is required to be reported under subsection (1)(a) through (m) of this section, it 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 An amount of stock may be reported by number of shares instead of by market value. No provision of this subsection may be interpreted to prevent any person from filing more information or more detailed information than required.</w:t>
      </w:r>
    </w:p>
    <w:p>
      <w:pPr>
        <w:ind w:left="0" w:right="0" w:firstLine="360"/>
        <w:jc w:val="both"/>
      </w:pPr>
      <w:r>
        <w:rPr/>
        <w:t xml:space="preserve">(3)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80" w:after="0" w:line="408" w:lineRule="exact"/>
      </w:pPr>
      <w:r>
        <w:rPr>
          <w:b/>
          <w:u w:val="single"/>
        </w:rPr>
        <w:t xml:space="preserve">HB 1397</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p>
    <w:p>
      <w:pPr>
        <w:ind w:left="0" w:right="0" w:firstLine="360"/>
        <w:jc w:val="both"/>
      </w:pPr>
      <w:r>
        <w:rPr/>
        <w:t xml:space="preserve">On page 1, line 2 of the title, after "appointees;" strike the remainder of the title and insert "and amending RCW 42.17A.120 and 42.17A.710."</w:t>
      </w:r>
    </w:p>
    <w:p>
      <w:pPr>
        <w:ind w:left="0" w:right="0" w:firstLine="360"/>
        <w:jc w:val="both"/>
      </w:pPr>
      <w:r>
        <w:rPr>
          <w:u w:val="single"/>
        </w:rPr>
        <w:t xml:space="preserve">EFFECT:</w:t>
      </w:r>
      <w:r>
        <w:rPr/>
        <w:t xml:space="preserve"> (1) Removes modifications to dollar codes for reporting asset values on the F-1 statement.</w:t>
      </w:r>
    </w:p>
    <w:p>
      <w:pPr>
        <w:ind w:left="0" w:right="0" w:firstLine="360"/>
        <w:jc w:val="both"/>
      </w:pPr>
      <w:r>
        <w:rPr/>
        <w:t xml:space="preserve">(2) Removes language allowing judges, prosecutors, and sheriffs to disclose only city and county of residence, rather than physical address or parcel number.</w:t>
      </w:r>
    </w:p>
    <w:p>
      <w:pPr>
        <w:ind w:left="0" w:right="0" w:firstLine="360"/>
        <w:jc w:val="both"/>
      </w:pPr>
      <w:r>
        <w:rPr/>
        <w:t xml:space="preserve">(3) Allows a suspension or modification of the F-1 reporting requirements for an elected official's time in office.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d9ebb3454e4059" /></Relationships>
</file>