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a8cbd07c964dd1" /></Relationships>
</file>

<file path=word/document.xml><?xml version="1.0" encoding="utf-8"?>
<w:document xmlns:w="http://schemas.openxmlformats.org/wordprocessingml/2006/main">
  <w:body>
    <w:p>
      <w:r>
        <w:rPr>
          <w:b/>
        </w:rPr>
        <w:r>
          <w:rPr/>
          <w:t xml:space="preserve">1295-S3.E</w:t>
        </w:r>
      </w:r>
      <w:r>
        <w:rPr>
          <w:b/>
        </w:rPr>
        <w:t xml:space="preserve"> </w:t>
        <w:t xml:space="preserve">AMS</w:t>
      </w:r>
      <w:r>
        <w:rPr>
          <w:b/>
        </w:rPr>
        <w:t xml:space="preserve"> </w:t>
        <w:r>
          <w:rPr/>
          <w:t xml:space="preserve">EDU</w:t>
        </w:r>
      </w:r>
      <w:r>
        <w:rPr>
          <w:b/>
        </w:rPr>
        <w:t xml:space="preserve"> </w:t>
        <w:r>
          <w:rPr/>
          <w:t xml:space="preserve">S4966.1</w:t>
        </w:r>
      </w:r>
      <w:r>
        <w:rPr>
          <w:b/>
        </w:rPr>
        <w:t xml:space="preserve"> - NOT FOR FLOOR USE</w:t>
      </w:r>
    </w:p>
    <w:p>
      <w:pPr>
        <w:ind w:left="0" w:right="0" w:firstLine="576"/>
      </w:pPr>
    </w:p>
    <w:p>
      <w:pPr>
        <w:spacing w:before="480" w:after="0" w:line="408" w:lineRule="exact"/>
      </w:pPr>
      <w:r>
        <w:rPr>
          <w:b/>
          <w:u w:val="single"/>
        </w:rPr>
        <w:t xml:space="preserve">E3SHB 1295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2017-18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(3)(a)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(b) If all students in a high-needs school are provided the opportunity to engage in educational activity planned by and under the direction of school district staff concurrently with the consumption of breakfast, and the provision of breakfast allows the regular instructional program to continue functioning, the period of time designated for student participation in breakfast after the bell may be provided during instructional hours under RCW 28A.150.205.</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 When choosing foods to serve in a breakfast after the bell program, schools must give preference to foods that are healthy, fresh, and Washington-grown. In addition, each food item served must contain less than twenty-five percent by weight added sugar.</w:t>
      </w:r>
    </w:p>
    <w:p>
      <w:pPr>
        <w:spacing w:before="0" w:after="0" w:line="408" w:lineRule="exact"/>
        <w:ind w:left="0" w:right="0" w:firstLine="576"/>
        <w:jc w:val="left"/>
      </w:pPr>
      <w:r>
        <w:rPr/>
        <w:t xml:space="preserve">(5) The legislature does not intend to include the funding for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2017,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school districts, and affected schools shall implement the provisions of this act only after funding is specifically provided for the purposes of the act, referencing this act by bill or chapter number, in a biennial or supplemental operating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may convene a work group to determine how to reduce the sugar content in all school meals with the goal of reaching twenty-five percent by weight added sugar. Any report or recommendations from this work group should be submitted to the appropriate committees of the legislature and to school districts.</w:t>
      </w:r>
      <w:r>
        <w:rPr/>
        <w:t xml:space="preserve">"</w:t>
      </w:r>
    </w:p>
    <w:p>
      <w:pPr>
        <w:spacing w:before="480" w:after="0" w:line="408" w:lineRule="exact"/>
      </w:pPr>
      <w:r>
        <w:rPr>
          <w:b/>
          <w:u w:val="single"/>
        </w:rPr>
        <w:t xml:space="preserve">E3SHB 1295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"schools;" strike the remainder of the title and insert "adding new sections to chapter 28A.235 RCW; and creating new sections."</w:t>
      </w:r>
    </w:p>
    <w:p>
      <w:pPr>
        <w:spacing w:before="0" w:after="0" w:line="408" w:lineRule="exact"/>
        <w:ind w:left="0" w:right="0" w:firstLine="576"/>
        <w:jc w:val="left"/>
      </w:pPr>
      <w:r>
        <w:rPr>
          <w:u w:val="single"/>
        </w:rPr>
        <w:t xml:space="preserve">EFFECT:</w:t>
      </w:r>
      <w:r>
        <w:rPr/>
        <w:t xml:space="preserve"> Changes language that the time that students engage in educational activity and consume breakfast must be "considered" instructional hours to may be "provided during" instructional hours.</w:t>
      </w:r>
    </w:p>
    <w:p>
      <w:pPr>
        <w:spacing w:before="0" w:after="0" w:line="408" w:lineRule="exact"/>
        <w:ind w:left="0" w:right="0" w:firstLine="576"/>
        <w:jc w:val="left"/>
      </w:pPr>
      <w:r>
        <w:rPr/>
        <w:t xml:space="preserve">States that the Legislature does not intend to include the "funding for" breakfast after the bell programs within basic education funding.</w:t>
      </w:r>
    </w:p>
    <w:p>
      <w:pPr>
        <w:spacing w:before="0" w:after="0" w:line="408" w:lineRule="exact"/>
        <w:ind w:left="0" w:right="0" w:firstLine="576"/>
        <w:jc w:val="left"/>
      </w:pPr>
      <w:r>
        <w:rPr/>
        <w:t xml:space="preserve">Removes the section amending the definition of instructional hours.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b8a8823b3047e5" /></Relationships>
</file>