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08b4803749f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1091.E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</w:t>
        </w:r>
      </w:r>
      <w:r>
        <w:rPr>
          <w:b/>
        </w:rPr>
        <w:t xml:space="preserve"> </w:t>
        <w:r>
          <w:rPr/>
          <w:t xml:space="preserve">S2790.1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EHB 1091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ind w:left="0" w:right="0" w:firstLine="360"/>
        <w:jc w:val="both"/>
      </w:pPr>
      <w:r>
        <w:rPr/>
        <w:t xml:space="preserve">By Committee on Commerce &amp; Labor</w:t>
      </w:r>
    </w:p>
    <w:p>
      <w:pPr>
        <w:jc w:val="right"/>
      </w:pPr>
      <w:r>
        <w:rPr>
          <w:b/>
        </w:rPr>
        <w:t xml:space="preserve">ADOPTED 4/8/2015</w:t>
      </w:r>
    </w:p>
    <w:p>
      <w:pPr>
        <w:ind w:left="0" w:right="0" w:firstLine="360"/>
        <w:jc w:val="both"/>
      </w:pPr>
      <w:r>
        <w:rPr/>
        <w:t xml:space="preserve">On page 3, line 9, after "knows" insert "or should know"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Violation against the use or sale of ticket bot software occurs if the seller should know that the purpose of the software is to evade a ticket seller's web site controls.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cf5e800a74c44" /></Relationships>
</file>