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52A2B" w:rsidP="0072541D">
          <w:pPr>
            <w:pStyle w:val="AmendDocName"/>
          </w:pPr>
          <w:customXml w:element="BillDocName">
            <w:r>
              <w:t xml:space="preserve">5921-S.E</w:t>
            </w:r>
          </w:customXml>
          <w:customXml w:element="AmendType">
            <w:r>
              <w:t xml:space="preserve"> AMH</w:t>
            </w:r>
          </w:customXml>
          <w:customXml w:element="SponsorAcronym">
            <w:r>
              <w:t xml:space="preserve"> KAGI</w:t>
            </w:r>
          </w:customXml>
          <w:customXml w:element="DrafterAcronym">
            <w:r>
              <w:t xml:space="preserve"> PAME</w:t>
            </w:r>
          </w:customXml>
          <w:customXml w:element="DraftNumber">
            <w:r>
              <w:t xml:space="preserve"> 162</w:t>
            </w:r>
          </w:customXml>
        </w:p>
      </w:customXml>
      <w:customXml w:element="Heading">
        <w:p w:rsidR="00DF5D0E" w:rsidRDefault="00152A2B">
          <w:customXml w:element="ReferenceNumber">
            <w:r w:rsidR="004754E3">
              <w:rPr>
                <w:b/>
                <w:u w:val="single"/>
              </w:rPr>
              <w:t>ESSB 5921</w:t>
            </w:r>
            <w:r w:rsidR="00DE256E">
              <w:t xml:space="preserve"> - </w:t>
            </w:r>
          </w:customXml>
          <w:customXml w:element="Floor">
            <w:r w:rsidR="004754E3">
              <w:t>H AMD TO WAYS COMM AMD (H-2797.2/11)</w:t>
            </w:r>
          </w:customXml>
          <w:customXml w:element="AmendNumber">
            <w:r>
              <w:rPr>
                <w:b/>
              </w:rPr>
              <w:t xml:space="preserve"> 778</w:t>
            </w:r>
          </w:customXml>
        </w:p>
        <w:p w:rsidR="00DF5D0E" w:rsidRDefault="00152A2B" w:rsidP="00605C39">
          <w:pPr>
            <w:ind w:firstLine="576"/>
          </w:pPr>
          <w:customXml w:element="Sponsors">
            <w:r>
              <w:t xml:space="preserve">By Representative Kagi</w:t>
            </w:r>
          </w:customXml>
        </w:p>
        <w:p w:rsidR="00DF5D0E" w:rsidRDefault="00152A2B" w:rsidP="00846034">
          <w:pPr>
            <w:spacing w:line="408" w:lineRule="exact"/>
            <w:jc w:val="right"/>
            <w:rPr>
              <w:b/>
              <w:bCs/>
            </w:rPr>
          </w:pPr>
          <w:customXml w:element="FloorAction"/>
        </w:p>
      </w:customXml>
      <w:customXml w:element="Page">
        <w:permStart w:id="0" w:edGrp="everyone" w:displacedByCustomXml="prev"/>
        <w:p w:rsidR="0086284D" w:rsidRDefault="00152A2B" w:rsidP="0086284D">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754E3" w:rsidRPr="0086284D">
            <w:rPr>
              <w:spacing w:val="0"/>
            </w:rPr>
            <w:t xml:space="preserve">On </w:t>
          </w:r>
          <w:r w:rsidR="0086284D" w:rsidRPr="0086284D">
            <w:rPr>
              <w:spacing w:val="0"/>
            </w:rPr>
            <w:t xml:space="preserve">page 4, beginning on line 1 of the striking amendment, strike all </w:t>
          </w:r>
          <w:r w:rsidR="003D3C64">
            <w:rPr>
              <w:spacing w:val="0"/>
            </w:rPr>
            <w:t>material</w:t>
          </w:r>
          <w:r w:rsidR="0086284D" w:rsidRPr="0086284D">
            <w:rPr>
              <w:spacing w:val="0"/>
            </w:rPr>
            <w:t xml:space="preserve"> through "</w:t>
          </w:r>
          <w:r w:rsidR="0086284D" w:rsidRPr="0086284D">
            <w:rPr>
              <w:spacing w:val="0"/>
              <w:u w:val="single"/>
            </w:rPr>
            <w:t>time.</w:t>
          </w:r>
          <w:r w:rsidR="0086284D" w:rsidRPr="0086284D">
            <w:rPr>
              <w:spacing w:val="0"/>
            </w:rPr>
            <w:t>" on page 5, line 38 and insert</w:t>
          </w:r>
          <w:r w:rsidR="00CE756A">
            <w:rPr>
              <w:spacing w:val="0"/>
            </w:rPr>
            <w:t xml:space="preserve"> the following</w:t>
          </w:r>
          <w:r w:rsidR="0086284D" w:rsidRPr="0086284D">
            <w:rPr>
              <w:spacing w:val="0"/>
            </w:rPr>
            <w:t>:</w:t>
          </w:r>
        </w:p>
        <w:p w:rsidR="0086284D" w:rsidRPr="0086284D" w:rsidRDefault="0086284D" w:rsidP="0086284D">
          <w:pPr>
            <w:pStyle w:val="RCWSLText"/>
            <w:rPr>
              <w:spacing w:val="0"/>
              <w:u w:val="single"/>
            </w:rPr>
          </w:pPr>
          <w:r w:rsidRPr="0086284D">
            <w:rPr>
              <w:spacing w:val="0"/>
            </w:rPr>
            <w:tab/>
          </w:r>
          <w:r>
            <w:rPr>
              <w:spacing w:val="0"/>
            </w:rPr>
            <w:t>"</w:t>
          </w:r>
          <w:r w:rsidRPr="0086284D">
            <w:rPr>
              <w:spacing w:val="0"/>
              <w:u w:val="single"/>
            </w:rPr>
            <w:t>(b)(i) The period of suspension of work activities under this subsection provides an opportunity for the legislative and executive bra</w:t>
          </w:r>
          <w:r w:rsidRPr="00807DCB">
            <w:rPr>
              <w:color w:val="000000" w:themeColor="text1"/>
              <w:spacing w:val="0"/>
              <w:u w:val="single"/>
            </w:rPr>
            <w:t>nch</w:t>
          </w:r>
          <w:r w:rsidR="00235527" w:rsidRPr="00807DCB">
            <w:rPr>
              <w:color w:val="000000" w:themeColor="text1"/>
              <w:spacing w:val="0"/>
              <w:u w:val="single"/>
            </w:rPr>
            <w:t>es</w:t>
          </w:r>
          <w:r w:rsidR="00235527">
            <w:rPr>
              <w:spacing w:val="0"/>
              <w:u w:val="single"/>
            </w:rPr>
            <w:t xml:space="preserve"> t</w:t>
          </w:r>
          <w:r w:rsidRPr="0086284D">
            <w:rPr>
              <w:spacing w:val="0"/>
              <w:u w:val="single"/>
            </w:rPr>
            <w:t>o oversee redesign of the WorkFirst program</w:t>
          </w:r>
          <w:r w:rsidR="00CE756A">
            <w:rPr>
              <w:spacing w:val="0"/>
              <w:u w:val="single"/>
            </w:rPr>
            <w:t xml:space="preserve">.  To realize this opportunity, </w:t>
          </w:r>
          <w:r w:rsidRPr="0086284D">
            <w:rPr>
              <w:spacing w:val="0"/>
              <w:u w:val="single"/>
            </w:rPr>
            <w:t>both during the period of suspens</w:t>
          </w:r>
          <w:r>
            <w:rPr>
              <w:spacing w:val="0"/>
              <w:u w:val="single"/>
            </w:rPr>
            <w:t xml:space="preserve">ion and following reinstatement </w:t>
          </w:r>
          <w:r w:rsidRPr="0086284D">
            <w:rPr>
              <w:spacing w:val="0"/>
              <w:u w:val="single"/>
            </w:rPr>
            <w:t>of work activity requirements as redesign is being implemented,</w:t>
          </w:r>
          <w:r w:rsidR="007F160E">
            <w:rPr>
              <w:spacing w:val="0"/>
              <w:u w:val="single"/>
            </w:rPr>
            <w:t xml:space="preserve"> </w:t>
          </w:r>
          <w:r w:rsidRPr="0086284D">
            <w:rPr>
              <w:spacing w:val="0"/>
              <w:u w:val="single"/>
            </w:rPr>
            <w:t>a legislative-executive WorkFirst oversight task force is established, with members as provided in this subsection.</w:t>
          </w:r>
          <w:r w:rsidRPr="0086284D">
            <w:rPr>
              <w:spacing w:val="0"/>
            </w:rPr>
            <w:br/>
          </w:r>
          <w:r w:rsidRPr="0086284D">
            <w:rPr>
              <w:spacing w:val="0"/>
            </w:rPr>
            <w:tab/>
          </w:r>
          <w:r w:rsidRPr="0086284D">
            <w:rPr>
              <w:spacing w:val="0"/>
              <w:u w:val="single"/>
            </w:rPr>
            <w:t>(ii) The president of the se</w:t>
          </w:r>
          <w:r w:rsidR="003D3C64">
            <w:rPr>
              <w:spacing w:val="0"/>
              <w:u w:val="single"/>
            </w:rPr>
            <w:t xml:space="preserve">nate shall appoint </w:t>
          </w:r>
          <w:r w:rsidRPr="0086284D">
            <w:rPr>
              <w:spacing w:val="0"/>
              <w:u w:val="single"/>
            </w:rPr>
            <w:t>two members from each of the two largest caucuses of the senate.</w:t>
          </w:r>
          <w:r w:rsidRPr="0086284D">
            <w:rPr>
              <w:spacing w:val="0"/>
            </w:rPr>
            <w:br/>
          </w:r>
          <w:r w:rsidRPr="0086284D">
            <w:rPr>
              <w:spacing w:val="0"/>
            </w:rPr>
            <w:tab/>
          </w:r>
          <w:r w:rsidR="00D466D2">
            <w:rPr>
              <w:spacing w:val="0"/>
              <w:u w:val="single"/>
            </w:rPr>
            <w:t xml:space="preserve">(iii) </w:t>
          </w:r>
          <w:r w:rsidRPr="0086284D">
            <w:rPr>
              <w:spacing w:val="0"/>
              <w:u w:val="single"/>
            </w:rPr>
            <w:t xml:space="preserve">The speaker </w:t>
          </w:r>
          <w:r w:rsidR="00FD57F8">
            <w:rPr>
              <w:spacing w:val="0"/>
              <w:u w:val="single"/>
            </w:rPr>
            <w:t xml:space="preserve">of the house of representatives </w:t>
          </w:r>
          <w:r w:rsidRPr="0086284D">
            <w:rPr>
              <w:spacing w:val="0"/>
              <w:u w:val="single"/>
            </w:rPr>
            <w:t>shall appoint two members from each of the two largest caucuses of the house of representatives.</w:t>
          </w:r>
          <w:r w:rsidRPr="0086284D">
            <w:rPr>
              <w:spacing w:val="0"/>
            </w:rPr>
            <w:br/>
          </w:r>
          <w:r w:rsidRPr="0086284D">
            <w:rPr>
              <w:spacing w:val="0"/>
            </w:rPr>
            <w:tab/>
          </w:r>
          <w:r w:rsidRPr="0086284D">
            <w:rPr>
              <w:spacing w:val="0"/>
              <w:u w:val="single"/>
            </w:rPr>
            <w:t>(iv) The governor shall appoint members representing the department of social and health services, the department of early learning, the department of commerce, the employment security department, the office of financial management, and the state board for community and technical colleges.</w:t>
          </w:r>
          <w:r w:rsidRPr="0086284D">
            <w:rPr>
              <w:spacing w:val="0"/>
            </w:rPr>
            <w:br/>
          </w:r>
          <w:r w:rsidRPr="0086284D">
            <w:rPr>
              <w:spacing w:val="0"/>
            </w:rPr>
            <w:tab/>
          </w:r>
          <w:r w:rsidRPr="0086284D">
            <w:rPr>
              <w:spacing w:val="0"/>
              <w:u w:val="single"/>
            </w:rPr>
            <w:t>(v) The task force shall choose cochairs, one from among the legisla</w:t>
          </w:r>
          <w:r w:rsidR="00235527">
            <w:rPr>
              <w:spacing w:val="0"/>
              <w:u w:val="single"/>
            </w:rPr>
            <w:t xml:space="preserve">tive members and one from among </w:t>
          </w:r>
          <w:r w:rsidRPr="0086284D">
            <w:rPr>
              <w:spacing w:val="0"/>
              <w:u w:val="single"/>
            </w:rPr>
            <w:t>the executive branch members.  The</w:t>
          </w:r>
          <w:r w:rsidR="00CE756A">
            <w:rPr>
              <w:spacing w:val="0"/>
              <w:u w:val="single"/>
            </w:rPr>
            <w:t xml:space="preserve"> </w:t>
          </w:r>
          <w:r w:rsidRPr="0086284D">
            <w:rPr>
              <w:spacing w:val="0"/>
              <w:u w:val="single"/>
            </w:rPr>
            <w:t>legislative members shall convene the initial meeting of the task force.</w:t>
          </w:r>
          <w:r w:rsidRPr="0086284D">
            <w:rPr>
              <w:spacing w:val="0"/>
            </w:rPr>
            <w:br/>
          </w:r>
          <w:r w:rsidRPr="0086284D">
            <w:rPr>
              <w:spacing w:val="0"/>
            </w:rPr>
            <w:tab/>
          </w:r>
          <w:r w:rsidRPr="0086284D">
            <w:rPr>
              <w:spacing w:val="0"/>
              <w:u w:val="single"/>
            </w:rPr>
            <w:t>(c) The task force shall:</w:t>
          </w:r>
          <w:r w:rsidRPr="0086284D">
            <w:rPr>
              <w:spacing w:val="0"/>
            </w:rPr>
            <w:br/>
          </w:r>
          <w:r w:rsidRPr="0086284D">
            <w:rPr>
              <w:spacing w:val="0"/>
            </w:rPr>
            <w:tab/>
          </w:r>
          <w:r w:rsidRPr="0086284D">
            <w:rPr>
              <w:spacing w:val="0"/>
              <w:u w:val="single"/>
            </w:rPr>
            <w:t>(i) Ove</w:t>
          </w:r>
          <w:r w:rsidR="003D3C64">
            <w:rPr>
              <w:spacing w:val="0"/>
              <w:u w:val="single"/>
            </w:rPr>
            <w:t>rsee</w:t>
          </w:r>
          <w:r w:rsidR="003D3C64" w:rsidRPr="007869D2">
            <w:rPr>
              <w:color w:val="000000" w:themeColor="text1"/>
              <w:spacing w:val="0"/>
              <w:u w:val="single"/>
            </w:rPr>
            <w:t xml:space="preserve"> </w:t>
          </w:r>
          <w:r w:rsidR="00235527" w:rsidRPr="007869D2">
            <w:rPr>
              <w:color w:val="000000" w:themeColor="text1"/>
              <w:spacing w:val="0"/>
              <w:u w:val="single"/>
            </w:rPr>
            <w:t xml:space="preserve">the partner agencies' </w:t>
          </w:r>
          <w:r w:rsidR="003D3C64" w:rsidRPr="007869D2">
            <w:rPr>
              <w:color w:val="000000" w:themeColor="text1"/>
              <w:spacing w:val="0"/>
              <w:u w:val="single"/>
            </w:rPr>
            <w:t>impleme</w:t>
          </w:r>
          <w:r w:rsidR="003D3C64">
            <w:rPr>
              <w:spacing w:val="0"/>
              <w:u w:val="single"/>
            </w:rPr>
            <w:t>ntatio</w:t>
          </w:r>
          <w:r w:rsidRPr="0086284D">
            <w:rPr>
              <w:spacing w:val="0"/>
              <w:u w:val="single"/>
            </w:rPr>
            <w:t xml:space="preserve">n of the redesign of the WorkFirst program and operation of the temporary assistance </w:t>
          </w:r>
          <w:r w:rsidRPr="0086284D">
            <w:rPr>
              <w:spacing w:val="0"/>
              <w:u w:val="single"/>
            </w:rPr>
            <w:lastRenderedPageBreak/>
            <w:t>for needy families program to ensure that the programs are achieving desired outcomes for their clients;</w:t>
          </w:r>
          <w:r w:rsidRPr="0086284D">
            <w:rPr>
              <w:spacing w:val="0"/>
            </w:rPr>
            <w:br/>
          </w:r>
          <w:r w:rsidRPr="0086284D">
            <w:rPr>
              <w:spacing w:val="0"/>
            </w:rPr>
            <w:tab/>
          </w:r>
          <w:r w:rsidRPr="0086284D">
            <w:rPr>
              <w:spacing w:val="0"/>
              <w:u w:val="single"/>
            </w:rPr>
            <w:t>(ii) Determine evidence-based outcome measures for the WorkFirst program, including measures related to equitably serving the needs of historically underrepresented populations, such as English language learners, immigrants, refugees and other diverse communities;</w:t>
          </w:r>
          <w:r w:rsidRPr="0086284D">
            <w:rPr>
              <w:spacing w:val="0"/>
            </w:rPr>
            <w:br/>
          </w:r>
          <w:r w:rsidRPr="0086284D">
            <w:rPr>
              <w:spacing w:val="0"/>
            </w:rPr>
            <w:tab/>
          </w:r>
          <w:r w:rsidRPr="0086284D">
            <w:rPr>
              <w:spacing w:val="0"/>
              <w:u w:val="single"/>
            </w:rPr>
            <w:t>(iii) Develop accountability measures for WorkFirst recipients and the state agencies responsible for their progress toward self- sufficiency;</w:t>
          </w:r>
        </w:p>
        <w:p w:rsidR="00CE756A" w:rsidRDefault="0086284D" w:rsidP="0086284D">
          <w:pPr>
            <w:pStyle w:val="RCWSLText"/>
            <w:rPr>
              <w:spacing w:val="0"/>
              <w:u w:val="single"/>
            </w:rPr>
          </w:pPr>
          <w:r w:rsidRPr="0086284D">
            <w:rPr>
              <w:spacing w:val="0"/>
            </w:rPr>
            <w:tab/>
          </w:r>
          <w:r w:rsidR="00CE756A">
            <w:rPr>
              <w:spacing w:val="0"/>
              <w:u w:val="single"/>
            </w:rPr>
            <w:t xml:space="preserve">(iv) </w:t>
          </w:r>
          <w:r w:rsidRPr="0086284D">
            <w:rPr>
              <w:spacing w:val="0"/>
              <w:u w:val="single"/>
            </w:rPr>
            <w:t>Make recommendations to the governor and the legislature regarding</w:t>
          </w:r>
          <w:r w:rsidR="00CE756A">
            <w:rPr>
              <w:spacing w:val="0"/>
              <w:u w:val="single"/>
            </w:rPr>
            <w:t>:</w:t>
          </w:r>
        </w:p>
        <w:p w:rsidR="00CE756A" w:rsidRDefault="00CE756A" w:rsidP="0086284D">
          <w:pPr>
            <w:pStyle w:val="RCWSLText"/>
            <w:rPr>
              <w:spacing w:val="0"/>
              <w:u w:val="single"/>
            </w:rPr>
          </w:pPr>
          <w:r w:rsidRPr="00CE756A">
            <w:rPr>
              <w:spacing w:val="0"/>
            </w:rPr>
            <w:tab/>
          </w:r>
          <w:r>
            <w:rPr>
              <w:spacing w:val="0"/>
              <w:u w:val="single"/>
            </w:rPr>
            <w:t>(A)</w:t>
          </w:r>
          <w:r w:rsidR="0086284D" w:rsidRPr="0086284D">
            <w:rPr>
              <w:spacing w:val="0"/>
              <w:u w:val="single"/>
            </w:rPr>
            <w:t xml:space="preserve"> </w:t>
          </w:r>
          <w:r>
            <w:rPr>
              <w:spacing w:val="0"/>
              <w:u w:val="single"/>
            </w:rPr>
            <w:t>P</w:t>
          </w:r>
          <w:r w:rsidR="0086284D" w:rsidRPr="0086284D">
            <w:rPr>
              <w:spacing w:val="0"/>
              <w:u w:val="single"/>
            </w:rPr>
            <w:t xml:space="preserve">olicies to improve the effectiveness of </w:t>
          </w:r>
          <w:r>
            <w:rPr>
              <w:spacing w:val="0"/>
              <w:u w:val="single"/>
            </w:rPr>
            <w:t>the WorkFirst program over time;</w:t>
          </w:r>
        </w:p>
        <w:p w:rsidR="00CE756A" w:rsidRDefault="00CE756A" w:rsidP="0086284D">
          <w:pPr>
            <w:pStyle w:val="RCWSLText"/>
            <w:rPr>
              <w:spacing w:val="0"/>
              <w:u w:val="single"/>
            </w:rPr>
          </w:pPr>
          <w:r w:rsidRPr="00CE756A">
            <w:rPr>
              <w:spacing w:val="0"/>
            </w:rPr>
            <w:tab/>
          </w:r>
          <w:r>
            <w:rPr>
              <w:spacing w:val="0"/>
              <w:u w:val="single"/>
            </w:rPr>
            <w:t xml:space="preserve">(B) Early identification of those recipients most likely to experience long stays on the program and strategies to improve their ability to achieve progress toward self sufficiency; and </w:t>
          </w:r>
        </w:p>
        <w:p w:rsidR="0086284D" w:rsidRPr="0086284D" w:rsidRDefault="00CE756A" w:rsidP="0086284D">
          <w:pPr>
            <w:pStyle w:val="RCWSLText"/>
            <w:rPr>
              <w:spacing w:val="0"/>
              <w:u w:val="single"/>
            </w:rPr>
          </w:pPr>
          <w:r w:rsidRPr="00CE756A">
            <w:rPr>
              <w:spacing w:val="0"/>
            </w:rPr>
            <w:tab/>
          </w:r>
          <w:r w:rsidRPr="007869D2">
            <w:rPr>
              <w:color w:val="000000" w:themeColor="text1"/>
              <w:spacing w:val="0"/>
              <w:u w:val="single"/>
            </w:rPr>
            <w:t>(C)</w:t>
          </w:r>
          <w:r w:rsidR="0086284D" w:rsidRPr="007869D2">
            <w:rPr>
              <w:color w:val="000000" w:themeColor="text1"/>
              <w:spacing w:val="0"/>
              <w:u w:val="single"/>
            </w:rPr>
            <w:t xml:space="preserve"> </w:t>
          </w:r>
          <w:r w:rsidRPr="007869D2">
            <w:rPr>
              <w:color w:val="000000" w:themeColor="text1"/>
              <w:spacing w:val="0"/>
              <w:u w:val="single"/>
            </w:rPr>
            <w:t>N</w:t>
          </w:r>
          <w:r w:rsidR="0086284D" w:rsidRPr="007869D2">
            <w:rPr>
              <w:color w:val="000000" w:themeColor="text1"/>
              <w:spacing w:val="0"/>
              <w:u w:val="single"/>
            </w:rPr>
            <w:t xml:space="preserve">ecessary changes to the program, including </w:t>
          </w:r>
          <w:r w:rsidR="00235527" w:rsidRPr="007869D2">
            <w:rPr>
              <w:color w:val="000000" w:themeColor="text1"/>
              <w:spacing w:val="0"/>
              <w:u w:val="single"/>
            </w:rPr>
            <w:t xml:space="preserve">taking into account </w:t>
          </w:r>
          <w:r w:rsidR="0086284D" w:rsidRPr="007869D2">
            <w:rPr>
              <w:color w:val="000000" w:themeColor="text1"/>
              <w:spacing w:val="0"/>
              <w:u w:val="single"/>
            </w:rPr>
            <w:t>federa</w:t>
          </w:r>
          <w:r w:rsidR="0086284D" w:rsidRPr="0086284D">
            <w:rPr>
              <w:spacing w:val="0"/>
              <w:u w:val="single"/>
            </w:rPr>
            <w:t xml:space="preserve">l changes to the temporary assistance for needy families program. </w:t>
          </w:r>
        </w:p>
        <w:p w:rsidR="0086284D" w:rsidRPr="0086284D" w:rsidRDefault="0086284D" w:rsidP="0086284D">
          <w:pPr>
            <w:pStyle w:val="RCWSLText"/>
            <w:rPr>
              <w:spacing w:val="0"/>
              <w:u w:val="single"/>
            </w:rPr>
          </w:pPr>
          <w:r w:rsidRPr="0086284D">
            <w:rPr>
              <w:spacing w:val="0"/>
            </w:rPr>
            <w:tab/>
          </w:r>
          <w:r w:rsidRPr="0086284D">
            <w:rPr>
              <w:spacing w:val="0"/>
              <w:u w:val="single"/>
            </w:rPr>
            <w:t>(d) The partner agencies must provide the task force with regular reports on:</w:t>
          </w:r>
        </w:p>
        <w:p w:rsidR="0086284D" w:rsidRPr="0086284D" w:rsidRDefault="0086284D" w:rsidP="0086284D">
          <w:pPr>
            <w:pStyle w:val="RCWSLText"/>
            <w:rPr>
              <w:spacing w:val="0"/>
              <w:u w:val="single"/>
            </w:rPr>
          </w:pPr>
          <w:r w:rsidRPr="003D3C64">
            <w:rPr>
              <w:spacing w:val="0"/>
            </w:rPr>
            <w:tab/>
          </w:r>
          <w:r w:rsidRPr="0086284D">
            <w:rPr>
              <w:spacing w:val="0"/>
              <w:u w:val="single"/>
            </w:rPr>
            <w:t xml:space="preserve">(i) The partner agencies' progress toward meeting the outcome and performance measures established under subsection (c) of this section;  </w:t>
          </w:r>
        </w:p>
        <w:p w:rsidR="0086284D" w:rsidRPr="0086284D" w:rsidRDefault="0086284D" w:rsidP="0086284D">
          <w:pPr>
            <w:pStyle w:val="RCWSLText"/>
            <w:rPr>
              <w:strike/>
              <w:spacing w:val="0"/>
            </w:rPr>
          </w:pPr>
          <w:r w:rsidRPr="0086284D">
            <w:rPr>
              <w:spacing w:val="0"/>
            </w:rPr>
            <w:tab/>
          </w:r>
          <w:r w:rsidRPr="0086284D">
            <w:rPr>
              <w:spacing w:val="0"/>
              <w:u w:val="single"/>
            </w:rPr>
            <w:t>(ii) Caseload trends and program expenditures, and the impact of those trends and expenditures on client services, including services to historically underrepresented populations; and</w:t>
          </w:r>
          <w:r w:rsidRPr="0086284D">
            <w:rPr>
              <w:spacing w:val="0"/>
            </w:rPr>
            <w:br/>
          </w:r>
          <w:r w:rsidRPr="0086284D">
            <w:rPr>
              <w:spacing w:val="0"/>
            </w:rPr>
            <w:tab/>
          </w:r>
          <w:r w:rsidRPr="0086284D">
            <w:rPr>
              <w:spacing w:val="0"/>
              <w:u w:val="single"/>
            </w:rPr>
            <w:t>(iii) The characteristics of families who have been unsuccessful on the program and have lost their benefits either through sanction or the sixty-month time limit.</w:t>
          </w:r>
          <w:r w:rsidRPr="0086284D">
            <w:rPr>
              <w:spacing w:val="0"/>
            </w:rPr>
            <w:br/>
          </w:r>
          <w:r w:rsidRPr="0086284D">
            <w:rPr>
              <w:spacing w:val="0"/>
            </w:rPr>
            <w:tab/>
          </w:r>
          <w:r w:rsidRPr="0086284D">
            <w:rPr>
              <w:spacing w:val="0"/>
              <w:u w:val="single"/>
            </w:rPr>
            <w:t>(e) Staff support for the task force must be provided by senate committee services, the house of representatives office of program research, and the state agency members of the task force.</w:t>
          </w:r>
          <w:r w:rsidRPr="0086284D">
            <w:rPr>
              <w:spacing w:val="0"/>
            </w:rPr>
            <w:br/>
          </w:r>
          <w:r w:rsidRPr="0086284D">
            <w:rPr>
              <w:spacing w:val="0"/>
            </w:rPr>
            <w:lastRenderedPageBreak/>
            <w:tab/>
          </w:r>
          <w:r w:rsidRPr="0086284D">
            <w:rPr>
              <w:spacing w:val="0"/>
              <w:u w:val="single"/>
            </w:rPr>
            <w:t xml:space="preserve">(f) The task force shall meet on a quarterly basis beginning September 2011, or as determined necessary by the task force cochairs.  </w:t>
          </w:r>
          <w:r w:rsidRPr="0086284D">
            <w:rPr>
              <w:spacing w:val="0"/>
            </w:rPr>
            <w:br/>
          </w:r>
          <w:r w:rsidRPr="0086284D">
            <w:rPr>
              <w:spacing w:val="0"/>
            </w:rPr>
            <w:tab/>
          </w:r>
          <w:r w:rsidRPr="0086284D">
            <w:rPr>
              <w:spacing w:val="0"/>
              <w:u w:val="single"/>
            </w:rPr>
            <w:t>(g) During its tenure, the state agency members of the task force shall respond in a timely manner to data requests from the cochairs.</w:t>
          </w:r>
          <w:r w:rsidRPr="0086284D">
            <w:rPr>
              <w:spacing w:val="0"/>
            </w:rPr>
            <w:t>"</w:t>
          </w:r>
          <w:r w:rsidRPr="0086284D">
            <w:rPr>
              <w:spacing w:val="0"/>
              <w:u w:val="single"/>
            </w:rPr>
            <w:t xml:space="preserve">  </w:t>
          </w:r>
        </w:p>
        <w:p w:rsidR="0086284D" w:rsidRPr="007869D2" w:rsidRDefault="0086284D" w:rsidP="0086284D">
          <w:pPr>
            <w:pStyle w:val="RCWSLText"/>
            <w:rPr>
              <w:color w:val="000000" w:themeColor="text1"/>
              <w:spacing w:val="0"/>
            </w:rPr>
          </w:pPr>
        </w:p>
        <w:p w:rsidR="00CE756A" w:rsidRPr="007869D2" w:rsidRDefault="00235527" w:rsidP="0086284D">
          <w:pPr>
            <w:pStyle w:val="RCWSLText"/>
            <w:rPr>
              <w:color w:val="000000" w:themeColor="text1"/>
              <w:spacing w:val="0"/>
            </w:rPr>
          </w:pPr>
          <w:r w:rsidRPr="007869D2">
            <w:rPr>
              <w:color w:val="000000" w:themeColor="text1"/>
              <w:spacing w:val="0"/>
            </w:rPr>
            <w:tab/>
            <w:t>On page 6, line 31, after "</w:t>
          </w:r>
          <w:r w:rsidR="00807DCB">
            <w:rPr>
              <w:color w:val="000000" w:themeColor="text1"/>
              <w:spacing w:val="0"/>
              <w:u w:val="single"/>
            </w:rPr>
            <w:t>with the</w:t>
          </w:r>
          <w:r w:rsidRPr="007869D2">
            <w:rPr>
              <w:color w:val="000000" w:themeColor="text1"/>
              <w:spacing w:val="0"/>
            </w:rPr>
            <w:t>" strike "</w:t>
          </w:r>
          <w:r w:rsidR="00807DCB" w:rsidRPr="00807DCB">
            <w:rPr>
              <w:color w:val="000000" w:themeColor="text1"/>
              <w:spacing w:val="0"/>
              <w:u w:val="single"/>
            </w:rPr>
            <w:t>legislative</w:t>
          </w:r>
          <w:r w:rsidR="00807DCB">
            <w:rPr>
              <w:color w:val="000000" w:themeColor="text1"/>
              <w:spacing w:val="0"/>
              <w:u w:val="single"/>
            </w:rPr>
            <w:t xml:space="preserve"> </w:t>
          </w:r>
          <w:r w:rsidRPr="007869D2">
            <w:rPr>
              <w:color w:val="000000" w:themeColor="text1"/>
              <w:spacing w:val="0"/>
              <w:u w:val="single"/>
            </w:rPr>
            <w:t>WorkFirst</w:t>
          </w:r>
          <w:r w:rsidRPr="007869D2">
            <w:rPr>
              <w:color w:val="000000" w:themeColor="text1"/>
              <w:spacing w:val="0"/>
            </w:rPr>
            <w:t>"</w:t>
          </w:r>
          <w:r w:rsidRPr="00235527">
            <w:rPr>
              <w:color w:val="C00000"/>
              <w:spacing w:val="0"/>
            </w:rPr>
            <w:t xml:space="preserve"> </w:t>
          </w:r>
          <w:r w:rsidRPr="007869D2">
            <w:rPr>
              <w:color w:val="000000" w:themeColor="text1"/>
              <w:spacing w:val="0"/>
            </w:rPr>
            <w:t>insert "</w:t>
          </w:r>
          <w:r w:rsidR="00807DCB" w:rsidRPr="00807DCB">
            <w:rPr>
              <w:color w:val="000000" w:themeColor="text1"/>
              <w:spacing w:val="0"/>
              <w:u w:val="single"/>
            </w:rPr>
            <w:t>legislative</w:t>
          </w:r>
          <w:r w:rsidRPr="007869D2">
            <w:rPr>
              <w:color w:val="000000" w:themeColor="text1"/>
              <w:spacing w:val="0"/>
              <w:u w:val="single"/>
            </w:rPr>
            <w:t>-executive WorkFirst oversight</w:t>
          </w:r>
          <w:r w:rsidRPr="007869D2">
            <w:rPr>
              <w:color w:val="000000" w:themeColor="text1"/>
              <w:spacing w:val="0"/>
            </w:rPr>
            <w:t>"</w:t>
          </w:r>
        </w:p>
        <w:p w:rsidR="00235527" w:rsidRDefault="00235527" w:rsidP="0086284D">
          <w:pPr>
            <w:pStyle w:val="RCWSLText"/>
            <w:rPr>
              <w:spacing w:val="0"/>
            </w:rPr>
          </w:pPr>
        </w:p>
        <w:p w:rsidR="0086284D" w:rsidRPr="0086284D" w:rsidRDefault="00CE756A" w:rsidP="0086284D">
          <w:pPr>
            <w:pStyle w:val="RCWSLText"/>
            <w:rPr>
              <w:spacing w:val="0"/>
            </w:rPr>
          </w:pPr>
          <w:r>
            <w:rPr>
              <w:spacing w:val="0"/>
            </w:rPr>
            <w:tab/>
          </w:r>
          <w:r w:rsidR="0086284D" w:rsidRPr="0086284D">
            <w:rPr>
              <w:spacing w:val="0"/>
            </w:rPr>
            <w:t>On page 19, line 28 after "should be a" strike "top".</w:t>
          </w:r>
        </w:p>
        <w:p w:rsidR="00DF5D0E" w:rsidRPr="00C8108C" w:rsidRDefault="00152A2B" w:rsidP="004754E3">
          <w:pPr>
            <w:pStyle w:val="RCWSLText"/>
            <w:suppressLineNumbers/>
          </w:pPr>
        </w:p>
      </w:customXml>
      <w:permEnd w:id="0" w:displacedByCustomXml="next"/>
      <w:customXml w:element="Effect">
        <w:p w:rsidR="00ED2EEB" w:rsidRDefault="00ED2EEB" w:rsidP="004754E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754E3">
                <w:pPr>
                  <w:pStyle w:val="Effect"/>
                  <w:suppressLineNumbers/>
                  <w:shd w:val="clear" w:color="auto" w:fill="auto"/>
                  <w:ind w:left="0" w:firstLine="0"/>
                </w:pPr>
                <w:permStart w:id="1" w:edGrp="everyone" w:colFirst="1" w:colLast="1"/>
              </w:p>
            </w:tc>
            <w:tc>
              <w:tcPr>
                <w:tcW w:w="9874" w:type="dxa"/>
                <w:shd w:val="clear" w:color="auto" w:fill="FFFFFF" w:themeFill="background1"/>
              </w:tcPr>
              <w:p w:rsidR="001F3581" w:rsidRDefault="0096303F" w:rsidP="004754E3">
                <w:pPr>
                  <w:pStyle w:val="Effect"/>
                  <w:suppressLineNumbers/>
                  <w:shd w:val="clear" w:color="auto" w:fill="auto"/>
                  <w:ind w:left="0" w:firstLine="0"/>
                </w:pPr>
                <w:r w:rsidRPr="0096303F">
                  <w:tab/>
                </w:r>
                <w:r w:rsidR="001C1B27" w:rsidRPr="0096303F">
                  <w:rPr>
                    <w:u w:val="single"/>
                  </w:rPr>
                  <w:t>EFFECT:</w:t>
                </w:r>
                <w:r w:rsidR="001C1B27" w:rsidRPr="0096303F">
                  <w:t>   </w:t>
                </w:r>
                <w:r w:rsidR="00A20136">
                  <w:t>Removes the provisions establishing a legislative task force</w:t>
                </w:r>
                <w:r w:rsidR="00E4450C">
                  <w:t>, the task force role and responsibilities</w:t>
                </w:r>
                <w:r w:rsidR="001F3581">
                  <w:t xml:space="preserve">. </w:t>
                </w:r>
              </w:p>
              <w:p w:rsidR="007F160E" w:rsidRDefault="007F160E" w:rsidP="004754E3">
                <w:pPr>
                  <w:pStyle w:val="Effect"/>
                  <w:suppressLineNumbers/>
                  <w:shd w:val="clear" w:color="auto" w:fill="auto"/>
                  <w:ind w:left="0" w:firstLine="0"/>
                </w:pPr>
              </w:p>
              <w:p w:rsidR="00B84F5E" w:rsidRDefault="001F3581" w:rsidP="004754E3">
                <w:pPr>
                  <w:pStyle w:val="Effect"/>
                  <w:suppressLineNumbers/>
                  <w:shd w:val="clear" w:color="auto" w:fill="auto"/>
                  <w:ind w:left="0" w:firstLine="0"/>
                </w:pPr>
                <w:r>
                  <w:t>Es</w:t>
                </w:r>
                <w:r w:rsidR="00A20136">
                  <w:t>tablishes a le</w:t>
                </w:r>
                <w:r w:rsidR="00B84F5E">
                  <w:t xml:space="preserve">gislative-executive </w:t>
                </w:r>
                <w:r w:rsidR="007F160E">
                  <w:t xml:space="preserve">WorkFirst oversight </w:t>
                </w:r>
                <w:r w:rsidR="00B84F5E">
                  <w:t>task force and p</w:t>
                </w:r>
                <w:r w:rsidR="007E5A2A">
                  <w:t>rovides</w:t>
                </w:r>
                <w:r>
                  <w:t xml:space="preserve"> that </w:t>
                </w:r>
                <w:r w:rsidR="007E5A2A">
                  <w:t xml:space="preserve">the legislative-executive task force is to oversee the </w:t>
                </w:r>
                <w:r w:rsidR="00276C03">
                  <w:t>WorkFirst redesign, determine evidence-based</w:t>
                </w:r>
                <w:r w:rsidR="007E5A2A">
                  <w:t xml:space="preserve"> </w:t>
                </w:r>
                <w:r w:rsidR="00276C03">
                  <w:t>accountability</w:t>
                </w:r>
                <w:r w:rsidR="007E5A2A">
                  <w:t xml:space="preserve"> measures, </w:t>
                </w:r>
                <w:r w:rsidR="00FD57F8">
                  <w:t>develop</w:t>
                </w:r>
                <w:r w:rsidR="007E5A2A">
                  <w:t xml:space="preserve"> outcomes</w:t>
                </w:r>
                <w:r w:rsidR="00B66D65">
                  <w:t>, and make recommendations to the Governor and Legislature</w:t>
                </w:r>
                <w:r w:rsidR="007E5A2A">
                  <w:t xml:space="preserve">. </w:t>
                </w:r>
              </w:p>
              <w:p w:rsidR="007F160E" w:rsidRDefault="007F160E" w:rsidP="004754E3">
                <w:pPr>
                  <w:pStyle w:val="Effect"/>
                  <w:suppressLineNumbers/>
                  <w:shd w:val="clear" w:color="auto" w:fill="auto"/>
                  <w:ind w:left="0" w:firstLine="0"/>
                </w:pPr>
              </w:p>
              <w:p w:rsidR="00276C03" w:rsidRDefault="00FD57F8" w:rsidP="004754E3">
                <w:pPr>
                  <w:pStyle w:val="Effect"/>
                  <w:suppressLineNumbers/>
                  <w:shd w:val="clear" w:color="auto" w:fill="auto"/>
                  <w:ind w:left="0" w:firstLine="0"/>
                </w:pPr>
                <w:r>
                  <w:t xml:space="preserve">Provides that the </w:t>
                </w:r>
                <w:r w:rsidR="00276C03">
                  <w:t>accountability</w:t>
                </w:r>
                <w:r w:rsidR="007E5A2A">
                  <w:t xml:space="preserve"> measures</w:t>
                </w:r>
                <w:r>
                  <w:t xml:space="preserve"> should </w:t>
                </w:r>
                <w:r w:rsidR="00664490">
                  <w:t xml:space="preserve">include </w:t>
                </w:r>
                <w:r w:rsidR="007F160E">
                  <w:t>provisions</w:t>
                </w:r>
                <w:r w:rsidR="00664490">
                  <w:t xml:space="preserve"> related to equitably serving underrepresented populations.</w:t>
                </w:r>
              </w:p>
              <w:p w:rsidR="007F160E" w:rsidRDefault="007F160E" w:rsidP="004754E3">
                <w:pPr>
                  <w:pStyle w:val="Effect"/>
                  <w:suppressLineNumbers/>
                  <w:shd w:val="clear" w:color="auto" w:fill="auto"/>
                  <w:ind w:left="0" w:firstLine="0"/>
                </w:pPr>
              </w:p>
              <w:p w:rsidR="00B84F5E" w:rsidRDefault="00B66D65" w:rsidP="004754E3">
                <w:pPr>
                  <w:pStyle w:val="Effect"/>
                  <w:suppressLineNumbers/>
                  <w:shd w:val="clear" w:color="auto" w:fill="auto"/>
                  <w:ind w:left="0" w:firstLine="0"/>
                </w:pPr>
                <w:r>
                  <w:t xml:space="preserve">Directs </w:t>
                </w:r>
                <w:r w:rsidR="00B84F5E">
                  <w:t xml:space="preserve">WorkFirst </w:t>
                </w:r>
                <w:r>
                  <w:t>partner agencies to provide regular reports to legislative-executive taskforce</w:t>
                </w:r>
                <w:r w:rsidR="007F160E">
                  <w:t xml:space="preserve"> and specifies the content of the reports</w:t>
                </w:r>
                <w:r>
                  <w:t xml:space="preserve">. </w:t>
                </w:r>
              </w:p>
              <w:p w:rsidR="007F160E" w:rsidRDefault="007F160E" w:rsidP="004754E3">
                <w:pPr>
                  <w:pStyle w:val="Effect"/>
                  <w:suppressLineNumbers/>
                  <w:shd w:val="clear" w:color="auto" w:fill="auto"/>
                  <w:ind w:left="0" w:firstLine="0"/>
                </w:pPr>
              </w:p>
              <w:p w:rsidR="001F3581" w:rsidRPr="0096303F" w:rsidRDefault="00276C03" w:rsidP="004754E3">
                <w:pPr>
                  <w:pStyle w:val="Effect"/>
                  <w:suppressLineNumbers/>
                  <w:shd w:val="clear" w:color="auto" w:fill="auto"/>
                  <w:ind w:left="0" w:firstLine="0"/>
                </w:pPr>
                <w:r>
                  <w:t>Clarifies that eliminating fraud, waste, and abuse should be a priority</w:t>
                </w:r>
                <w:r w:rsidR="002A5CC7">
                  <w:t xml:space="preserve">, rather than top </w:t>
                </w:r>
                <w:r w:rsidR="00FD57F8">
                  <w:t>priority</w:t>
                </w:r>
                <w:r w:rsidR="002A5CC7">
                  <w:t>,</w:t>
                </w:r>
                <w:r w:rsidR="00FD57F8">
                  <w:t xml:space="preserve"> </w:t>
                </w:r>
                <w:r w:rsidR="002A5CC7">
                  <w:t>of the Department of Social and Health Services.</w:t>
                </w:r>
              </w:p>
              <w:p w:rsidR="001B4E53" w:rsidRPr="007D1589" w:rsidRDefault="001B4E53" w:rsidP="004754E3">
                <w:pPr>
                  <w:pStyle w:val="ListBullet"/>
                  <w:numPr>
                    <w:ilvl w:val="0"/>
                    <w:numId w:val="0"/>
                  </w:numPr>
                  <w:suppressLineNumbers/>
                </w:pPr>
              </w:p>
            </w:tc>
          </w:tr>
        </w:tbl>
        <w:p w:rsidR="00DF5D0E" w:rsidRDefault="00152A2B" w:rsidP="004754E3">
          <w:pPr>
            <w:pStyle w:val="BillEnd"/>
            <w:suppressLineNumbers/>
          </w:pPr>
        </w:p>
        <w:permEnd w:id="1" w:displacedByCustomXml="next"/>
      </w:customXml>
      <w:p w:rsidR="00DF5D0E" w:rsidRDefault="00DE256E" w:rsidP="004754E3">
        <w:pPr>
          <w:pStyle w:val="BillEnd"/>
          <w:suppressLineNumbers/>
        </w:pPr>
        <w:r>
          <w:rPr>
            <w:b/>
          </w:rPr>
          <w:t>--- END ---</w:t>
        </w:r>
      </w:p>
      <w:p w:rsidR="00DF5D0E" w:rsidRDefault="00152A2B" w:rsidP="004754E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6D2" w:rsidRDefault="00D466D2" w:rsidP="00DF5D0E">
      <w:r>
        <w:separator/>
      </w:r>
    </w:p>
  </w:endnote>
  <w:endnote w:type="continuationSeparator" w:id="0">
    <w:p w:rsidR="00D466D2" w:rsidRDefault="00D466D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D2" w:rsidRDefault="00D46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D2" w:rsidRDefault="00152A2B">
    <w:pPr>
      <w:pStyle w:val="AmendDraftFooter"/>
    </w:pPr>
    <w:fldSimple w:instr=" TITLE   \* MERGEFORMAT ">
      <w:r w:rsidR="00FF60C2">
        <w:t>5921-S.E AMH KAGI PAME 162</w:t>
      </w:r>
    </w:fldSimple>
    <w:r w:rsidR="00D466D2">
      <w:tab/>
    </w:r>
    <w:fldSimple w:instr=" PAGE  \* Arabic  \* MERGEFORMAT ">
      <w:r w:rsidR="00FF60C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D2" w:rsidRDefault="00152A2B">
    <w:pPr>
      <w:pStyle w:val="AmendDraftFooter"/>
    </w:pPr>
    <w:fldSimple w:instr=" TITLE   \* MERGEFORMAT ">
      <w:r w:rsidR="00FF60C2">
        <w:t>5921-S.E AMH KAGI PAME 162</w:t>
      </w:r>
    </w:fldSimple>
    <w:r w:rsidR="00D466D2">
      <w:tab/>
    </w:r>
    <w:fldSimple w:instr=" PAGE  \* Arabic  \* MERGEFORMAT ">
      <w:r w:rsidR="00FF60C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6D2" w:rsidRDefault="00D466D2" w:rsidP="00DF5D0E">
      <w:r>
        <w:separator/>
      </w:r>
    </w:p>
  </w:footnote>
  <w:footnote w:type="continuationSeparator" w:id="0">
    <w:p w:rsidR="00D466D2" w:rsidRDefault="00D466D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D2" w:rsidRDefault="00D466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D2" w:rsidRDefault="00152A2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466D2" w:rsidRDefault="00D466D2">
                <w:pPr>
                  <w:pStyle w:val="RCWSLText"/>
                  <w:jc w:val="right"/>
                </w:pPr>
                <w:r>
                  <w:t>1</w:t>
                </w:r>
              </w:p>
              <w:p w:rsidR="00D466D2" w:rsidRDefault="00D466D2">
                <w:pPr>
                  <w:pStyle w:val="RCWSLText"/>
                  <w:jc w:val="right"/>
                </w:pPr>
                <w:r>
                  <w:t>2</w:t>
                </w:r>
              </w:p>
              <w:p w:rsidR="00D466D2" w:rsidRDefault="00D466D2">
                <w:pPr>
                  <w:pStyle w:val="RCWSLText"/>
                  <w:jc w:val="right"/>
                </w:pPr>
                <w:r>
                  <w:t>3</w:t>
                </w:r>
              </w:p>
              <w:p w:rsidR="00D466D2" w:rsidRDefault="00D466D2">
                <w:pPr>
                  <w:pStyle w:val="RCWSLText"/>
                  <w:jc w:val="right"/>
                </w:pPr>
                <w:r>
                  <w:t>4</w:t>
                </w:r>
              </w:p>
              <w:p w:rsidR="00D466D2" w:rsidRDefault="00D466D2">
                <w:pPr>
                  <w:pStyle w:val="RCWSLText"/>
                  <w:jc w:val="right"/>
                </w:pPr>
                <w:r>
                  <w:t>5</w:t>
                </w:r>
              </w:p>
              <w:p w:rsidR="00D466D2" w:rsidRDefault="00D466D2">
                <w:pPr>
                  <w:pStyle w:val="RCWSLText"/>
                  <w:jc w:val="right"/>
                </w:pPr>
                <w:r>
                  <w:t>6</w:t>
                </w:r>
              </w:p>
              <w:p w:rsidR="00D466D2" w:rsidRDefault="00D466D2">
                <w:pPr>
                  <w:pStyle w:val="RCWSLText"/>
                  <w:jc w:val="right"/>
                </w:pPr>
                <w:r>
                  <w:t>7</w:t>
                </w:r>
              </w:p>
              <w:p w:rsidR="00D466D2" w:rsidRDefault="00D466D2">
                <w:pPr>
                  <w:pStyle w:val="RCWSLText"/>
                  <w:jc w:val="right"/>
                </w:pPr>
                <w:r>
                  <w:t>8</w:t>
                </w:r>
              </w:p>
              <w:p w:rsidR="00D466D2" w:rsidRDefault="00D466D2">
                <w:pPr>
                  <w:pStyle w:val="RCWSLText"/>
                  <w:jc w:val="right"/>
                </w:pPr>
                <w:r>
                  <w:t>9</w:t>
                </w:r>
              </w:p>
              <w:p w:rsidR="00D466D2" w:rsidRDefault="00D466D2">
                <w:pPr>
                  <w:pStyle w:val="RCWSLText"/>
                  <w:jc w:val="right"/>
                </w:pPr>
                <w:r>
                  <w:t>10</w:t>
                </w:r>
              </w:p>
              <w:p w:rsidR="00D466D2" w:rsidRDefault="00D466D2">
                <w:pPr>
                  <w:pStyle w:val="RCWSLText"/>
                  <w:jc w:val="right"/>
                </w:pPr>
                <w:r>
                  <w:t>11</w:t>
                </w:r>
              </w:p>
              <w:p w:rsidR="00D466D2" w:rsidRDefault="00D466D2">
                <w:pPr>
                  <w:pStyle w:val="RCWSLText"/>
                  <w:jc w:val="right"/>
                </w:pPr>
                <w:r>
                  <w:t>12</w:t>
                </w:r>
              </w:p>
              <w:p w:rsidR="00D466D2" w:rsidRDefault="00D466D2">
                <w:pPr>
                  <w:pStyle w:val="RCWSLText"/>
                  <w:jc w:val="right"/>
                </w:pPr>
                <w:r>
                  <w:t>13</w:t>
                </w:r>
              </w:p>
              <w:p w:rsidR="00D466D2" w:rsidRDefault="00D466D2">
                <w:pPr>
                  <w:pStyle w:val="RCWSLText"/>
                  <w:jc w:val="right"/>
                </w:pPr>
                <w:r>
                  <w:t>14</w:t>
                </w:r>
              </w:p>
              <w:p w:rsidR="00D466D2" w:rsidRDefault="00D466D2">
                <w:pPr>
                  <w:pStyle w:val="RCWSLText"/>
                  <w:jc w:val="right"/>
                </w:pPr>
                <w:r>
                  <w:t>15</w:t>
                </w:r>
              </w:p>
              <w:p w:rsidR="00D466D2" w:rsidRDefault="00D466D2">
                <w:pPr>
                  <w:pStyle w:val="RCWSLText"/>
                  <w:jc w:val="right"/>
                </w:pPr>
                <w:r>
                  <w:t>16</w:t>
                </w:r>
              </w:p>
              <w:p w:rsidR="00D466D2" w:rsidRDefault="00D466D2">
                <w:pPr>
                  <w:pStyle w:val="RCWSLText"/>
                  <w:jc w:val="right"/>
                </w:pPr>
                <w:r>
                  <w:t>17</w:t>
                </w:r>
              </w:p>
              <w:p w:rsidR="00D466D2" w:rsidRDefault="00D466D2">
                <w:pPr>
                  <w:pStyle w:val="RCWSLText"/>
                  <w:jc w:val="right"/>
                </w:pPr>
                <w:r>
                  <w:t>18</w:t>
                </w:r>
              </w:p>
              <w:p w:rsidR="00D466D2" w:rsidRDefault="00D466D2">
                <w:pPr>
                  <w:pStyle w:val="RCWSLText"/>
                  <w:jc w:val="right"/>
                </w:pPr>
                <w:r>
                  <w:t>19</w:t>
                </w:r>
              </w:p>
              <w:p w:rsidR="00D466D2" w:rsidRDefault="00D466D2">
                <w:pPr>
                  <w:pStyle w:val="RCWSLText"/>
                  <w:jc w:val="right"/>
                </w:pPr>
                <w:r>
                  <w:t>20</w:t>
                </w:r>
              </w:p>
              <w:p w:rsidR="00D466D2" w:rsidRDefault="00D466D2">
                <w:pPr>
                  <w:pStyle w:val="RCWSLText"/>
                  <w:jc w:val="right"/>
                </w:pPr>
                <w:r>
                  <w:t>21</w:t>
                </w:r>
              </w:p>
              <w:p w:rsidR="00D466D2" w:rsidRDefault="00D466D2">
                <w:pPr>
                  <w:pStyle w:val="RCWSLText"/>
                  <w:jc w:val="right"/>
                </w:pPr>
                <w:r>
                  <w:t>22</w:t>
                </w:r>
              </w:p>
              <w:p w:rsidR="00D466D2" w:rsidRDefault="00D466D2">
                <w:pPr>
                  <w:pStyle w:val="RCWSLText"/>
                  <w:jc w:val="right"/>
                </w:pPr>
                <w:r>
                  <w:t>23</w:t>
                </w:r>
              </w:p>
              <w:p w:rsidR="00D466D2" w:rsidRDefault="00D466D2">
                <w:pPr>
                  <w:pStyle w:val="RCWSLText"/>
                  <w:jc w:val="right"/>
                </w:pPr>
                <w:r>
                  <w:t>24</w:t>
                </w:r>
              </w:p>
              <w:p w:rsidR="00D466D2" w:rsidRDefault="00D466D2">
                <w:pPr>
                  <w:pStyle w:val="RCWSLText"/>
                  <w:jc w:val="right"/>
                </w:pPr>
                <w:r>
                  <w:t>25</w:t>
                </w:r>
              </w:p>
              <w:p w:rsidR="00D466D2" w:rsidRDefault="00D466D2">
                <w:pPr>
                  <w:pStyle w:val="RCWSLText"/>
                  <w:jc w:val="right"/>
                </w:pPr>
                <w:r>
                  <w:t>26</w:t>
                </w:r>
              </w:p>
              <w:p w:rsidR="00D466D2" w:rsidRDefault="00D466D2">
                <w:pPr>
                  <w:pStyle w:val="RCWSLText"/>
                  <w:jc w:val="right"/>
                </w:pPr>
                <w:r>
                  <w:t>27</w:t>
                </w:r>
              </w:p>
              <w:p w:rsidR="00D466D2" w:rsidRDefault="00D466D2">
                <w:pPr>
                  <w:pStyle w:val="RCWSLText"/>
                  <w:jc w:val="right"/>
                </w:pPr>
                <w:r>
                  <w:t>28</w:t>
                </w:r>
              </w:p>
              <w:p w:rsidR="00D466D2" w:rsidRDefault="00D466D2">
                <w:pPr>
                  <w:pStyle w:val="RCWSLText"/>
                  <w:jc w:val="right"/>
                </w:pPr>
                <w:r>
                  <w:t>29</w:t>
                </w:r>
              </w:p>
              <w:p w:rsidR="00D466D2" w:rsidRDefault="00D466D2">
                <w:pPr>
                  <w:pStyle w:val="RCWSLText"/>
                  <w:jc w:val="right"/>
                </w:pPr>
                <w:r>
                  <w:t>30</w:t>
                </w:r>
              </w:p>
              <w:p w:rsidR="00D466D2" w:rsidRDefault="00D466D2">
                <w:pPr>
                  <w:pStyle w:val="RCWSLText"/>
                  <w:jc w:val="right"/>
                </w:pPr>
                <w:r>
                  <w:t>31</w:t>
                </w:r>
              </w:p>
              <w:p w:rsidR="00D466D2" w:rsidRDefault="00D466D2">
                <w:pPr>
                  <w:pStyle w:val="RCWSLText"/>
                  <w:jc w:val="right"/>
                </w:pPr>
                <w:r>
                  <w:t>32</w:t>
                </w:r>
              </w:p>
              <w:p w:rsidR="00D466D2" w:rsidRDefault="00D466D2">
                <w:pPr>
                  <w:pStyle w:val="RCWSLText"/>
                  <w:jc w:val="right"/>
                </w:pPr>
                <w:r>
                  <w:t>33</w:t>
                </w:r>
              </w:p>
              <w:p w:rsidR="00D466D2" w:rsidRDefault="00D466D2">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D2" w:rsidRDefault="00152A2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466D2" w:rsidRDefault="00D466D2" w:rsidP="00605C39">
                <w:pPr>
                  <w:pStyle w:val="RCWSLText"/>
                  <w:spacing w:before="2888"/>
                  <w:jc w:val="right"/>
                </w:pPr>
                <w:r>
                  <w:t>1</w:t>
                </w:r>
              </w:p>
              <w:p w:rsidR="00D466D2" w:rsidRDefault="00D466D2">
                <w:pPr>
                  <w:pStyle w:val="RCWSLText"/>
                  <w:jc w:val="right"/>
                </w:pPr>
                <w:r>
                  <w:t>2</w:t>
                </w:r>
              </w:p>
              <w:p w:rsidR="00D466D2" w:rsidRDefault="00D466D2">
                <w:pPr>
                  <w:pStyle w:val="RCWSLText"/>
                  <w:jc w:val="right"/>
                </w:pPr>
                <w:r>
                  <w:t>3</w:t>
                </w:r>
              </w:p>
              <w:p w:rsidR="00D466D2" w:rsidRDefault="00D466D2">
                <w:pPr>
                  <w:pStyle w:val="RCWSLText"/>
                  <w:jc w:val="right"/>
                </w:pPr>
                <w:r>
                  <w:t>4</w:t>
                </w:r>
              </w:p>
              <w:p w:rsidR="00D466D2" w:rsidRDefault="00D466D2">
                <w:pPr>
                  <w:pStyle w:val="RCWSLText"/>
                  <w:jc w:val="right"/>
                </w:pPr>
                <w:r>
                  <w:t>5</w:t>
                </w:r>
              </w:p>
              <w:p w:rsidR="00D466D2" w:rsidRDefault="00D466D2">
                <w:pPr>
                  <w:pStyle w:val="RCWSLText"/>
                  <w:jc w:val="right"/>
                </w:pPr>
                <w:r>
                  <w:t>6</w:t>
                </w:r>
              </w:p>
              <w:p w:rsidR="00D466D2" w:rsidRDefault="00D466D2">
                <w:pPr>
                  <w:pStyle w:val="RCWSLText"/>
                  <w:jc w:val="right"/>
                </w:pPr>
                <w:r>
                  <w:t>7</w:t>
                </w:r>
              </w:p>
              <w:p w:rsidR="00D466D2" w:rsidRDefault="00D466D2">
                <w:pPr>
                  <w:pStyle w:val="RCWSLText"/>
                  <w:jc w:val="right"/>
                </w:pPr>
                <w:r>
                  <w:t>8</w:t>
                </w:r>
              </w:p>
              <w:p w:rsidR="00D466D2" w:rsidRDefault="00D466D2">
                <w:pPr>
                  <w:pStyle w:val="RCWSLText"/>
                  <w:jc w:val="right"/>
                </w:pPr>
                <w:r>
                  <w:t>9</w:t>
                </w:r>
              </w:p>
              <w:p w:rsidR="00D466D2" w:rsidRDefault="00D466D2">
                <w:pPr>
                  <w:pStyle w:val="RCWSLText"/>
                  <w:jc w:val="right"/>
                </w:pPr>
                <w:r>
                  <w:t>10</w:t>
                </w:r>
              </w:p>
              <w:p w:rsidR="00D466D2" w:rsidRDefault="00D466D2">
                <w:pPr>
                  <w:pStyle w:val="RCWSLText"/>
                  <w:jc w:val="right"/>
                </w:pPr>
                <w:r>
                  <w:t>11</w:t>
                </w:r>
              </w:p>
              <w:p w:rsidR="00D466D2" w:rsidRDefault="00D466D2">
                <w:pPr>
                  <w:pStyle w:val="RCWSLText"/>
                  <w:jc w:val="right"/>
                </w:pPr>
                <w:r>
                  <w:t>12</w:t>
                </w:r>
              </w:p>
              <w:p w:rsidR="00D466D2" w:rsidRDefault="00D466D2">
                <w:pPr>
                  <w:pStyle w:val="RCWSLText"/>
                  <w:jc w:val="right"/>
                </w:pPr>
                <w:r>
                  <w:t>13</w:t>
                </w:r>
              </w:p>
              <w:p w:rsidR="00D466D2" w:rsidRDefault="00D466D2">
                <w:pPr>
                  <w:pStyle w:val="RCWSLText"/>
                  <w:jc w:val="right"/>
                </w:pPr>
                <w:r>
                  <w:t>14</w:t>
                </w:r>
              </w:p>
              <w:p w:rsidR="00D466D2" w:rsidRDefault="00D466D2">
                <w:pPr>
                  <w:pStyle w:val="RCWSLText"/>
                  <w:jc w:val="right"/>
                </w:pPr>
                <w:r>
                  <w:t>15</w:t>
                </w:r>
              </w:p>
              <w:p w:rsidR="00D466D2" w:rsidRDefault="00D466D2">
                <w:pPr>
                  <w:pStyle w:val="RCWSLText"/>
                  <w:jc w:val="right"/>
                </w:pPr>
                <w:r>
                  <w:t>16</w:t>
                </w:r>
              </w:p>
              <w:p w:rsidR="00D466D2" w:rsidRDefault="00D466D2">
                <w:pPr>
                  <w:pStyle w:val="RCWSLText"/>
                  <w:jc w:val="right"/>
                </w:pPr>
                <w:r>
                  <w:t>17</w:t>
                </w:r>
              </w:p>
              <w:p w:rsidR="00D466D2" w:rsidRDefault="00D466D2">
                <w:pPr>
                  <w:pStyle w:val="RCWSLText"/>
                  <w:jc w:val="right"/>
                </w:pPr>
                <w:r>
                  <w:t>18</w:t>
                </w:r>
              </w:p>
              <w:p w:rsidR="00D466D2" w:rsidRDefault="00D466D2">
                <w:pPr>
                  <w:pStyle w:val="RCWSLText"/>
                  <w:jc w:val="right"/>
                </w:pPr>
                <w:r>
                  <w:t>19</w:t>
                </w:r>
              </w:p>
              <w:p w:rsidR="00D466D2" w:rsidRDefault="00D466D2">
                <w:pPr>
                  <w:pStyle w:val="RCWSLText"/>
                  <w:jc w:val="right"/>
                </w:pPr>
                <w:r>
                  <w:t>20</w:t>
                </w:r>
              </w:p>
              <w:p w:rsidR="00D466D2" w:rsidRDefault="00D466D2">
                <w:pPr>
                  <w:pStyle w:val="RCWSLText"/>
                  <w:jc w:val="right"/>
                </w:pPr>
                <w:r>
                  <w:t>21</w:t>
                </w:r>
              </w:p>
              <w:p w:rsidR="00D466D2" w:rsidRDefault="00D466D2">
                <w:pPr>
                  <w:pStyle w:val="RCWSLText"/>
                  <w:jc w:val="right"/>
                </w:pPr>
                <w:r>
                  <w:t>22</w:t>
                </w:r>
              </w:p>
              <w:p w:rsidR="00D466D2" w:rsidRDefault="00D466D2">
                <w:pPr>
                  <w:pStyle w:val="RCWSLText"/>
                  <w:jc w:val="right"/>
                </w:pPr>
                <w:r>
                  <w:t>23</w:t>
                </w:r>
              </w:p>
              <w:p w:rsidR="00D466D2" w:rsidRDefault="00D466D2">
                <w:pPr>
                  <w:pStyle w:val="RCWSLText"/>
                  <w:jc w:val="right"/>
                </w:pPr>
                <w:r>
                  <w:t>24</w:t>
                </w:r>
              </w:p>
              <w:p w:rsidR="00D466D2" w:rsidRDefault="00D466D2" w:rsidP="00060D21">
                <w:pPr>
                  <w:pStyle w:val="RCWSLText"/>
                  <w:jc w:val="right"/>
                </w:pPr>
                <w:r>
                  <w:t>25</w:t>
                </w:r>
              </w:p>
              <w:p w:rsidR="00D466D2" w:rsidRDefault="00D466D2" w:rsidP="00060D21">
                <w:pPr>
                  <w:pStyle w:val="RCWSLText"/>
                  <w:jc w:val="right"/>
                </w:pPr>
                <w:r>
                  <w:t>26</w:t>
                </w:r>
              </w:p>
              <w:p w:rsidR="00D466D2" w:rsidRDefault="00D466D2"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74F2B"/>
    <w:rsid w:val="00096165"/>
    <w:rsid w:val="000C6C82"/>
    <w:rsid w:val="000E603A"/>
    <w:rsid w:val="00102468"/>
    <w:rsid w:val="00106544"/>
    <w:rsid w:val="00146AAF"/>
    <w:rsid w:val="00152A2B"/>
    <w:rsid w:val="00187326"/>
    <w:rsid w:val="001A775A"/>
    <w:rsid w:val="001B4E53"/>
    <w:rsid w:val="001C1B27"/>
    <w:rsid w:val="001E6675"/>
    <w:rsid w:val="001F3581"/>
    <w:rsid w:val="00217E8A"/>
    <w:rsid w:val="00235527"/>
    <w:rsid w:val="00276C03"/>
    <w:rsid w:val="00281CBD"/>
    <w:rsid w:val="002911BB"/>
    <w:rsid w:val="002A5CC7"/>
    <w:rsid w:val="003102E7"/>
    <w:rsid w:val="00316CD9"/>
    <w:rsid w:val="00356CDD"/>
    <w:rsid w:val="003B5AE7"/>
    <w:rsid w:val="003D3C64"/>
    <w:rsid w:val="003E2FC6"/>
    <w:rsid w:val="003E520C"/>
    <w:rsid w:val="00457900"/>
    <w:rsid w:val="004754E3"/>
    <w:rsid w:val="00492DDC"/>
    <w:rsid w:val="004C6615"/>
    <w:rsid w:val="004F3BF4"/>
    <w:rsid w:val="00523C5A"/>
    <w:rsid w:val="005E69C3"/>
    <w:rsid w:val="00605C39"/>
    <w:rsid w:val="00664490"/>
    <w:rsid w:val="006841E6"/>
    <w:rsid w:val="006850EE"/>
    <w:rsid w:val="006F7027"/>
    <w:rsid w:val="0072335D"/>
    <w:rsid w:val="0072541D"/>
    <w:rsid w:val="007769AF"/>
    <w:rsid w:val="007869D2"/>
    <w:rsid w:val="007D1589"/>
    <w:rsid w:val="007D35D4"/>
    <w:rsid w:val="007E5A2A"/>
    <w:rsid w:val="007F160E"/>
    <w:rsid w:val="00807DCB"/>
    <w:rsid w:val="00843AAC"/>
    <w:rsid w:val="00846034"/>
    <w:rsid w:val="0086284D"/>
    <w:rsid w:val="008C7E6E"/>
    <w:rsid w:val="00931B84"/>
    <w:rsid w:val="0096303F"/>
    <w:rsid w:val="00972869"/>
    <w:rsid w:val="00984CD1"/>
    <w:rsid w:val="009F23A9"/>
    <w:rsid w:val="00A01F29"/>
    <w:rsid w:val="00A17B5B"/>
    <w:rsid w:val="00A20136"/>
    <w:rsid w:val="00A4729B"/>
    <w:rsid w:val="00A93D4A"/>
    <w:rsid w:val="00AB682C"/>
    <w:rsid w:val="00AD2D0A"/>
    <w:rsid w:val="00B31D1C"/>
    <w:rsid w:val="00B41494"/>
    <w:rsid w:val="00B518D0"/>
    <w:rsid w:val="00B66D65"/>
    <w:rsid w:val="00B73E0A"/>
    <w:rsid w:val="00B84F5E"/>
    <w:rsid w:val="00B961E0"/>
    <w:rsid w:val="00BC6CEC"/>
    <w:rsid w:val="00BF44DF"/>
    <w:rsid w:val="00C61A83"/>
    <w:rsid w:val="00C8108C"/>
    <w:rsid w:val="00CD02FC"/>
    <w:rsid w:val="00CE756A"/>
    <w:rsid w:val="00D40447"/>
    <w:rsid w:val="00D466D2"/>
    <w:rsid w:val="00D618B4"/>
    <w:rsid w:val="00D659AC"/>
    <w:rsid w:val="00DA47F3"/>
    <w:rsid w:val="00DE256E"/>
    <w:rsid w:val="00DF5D0E"/>
    <w:rsid w:val="00E1471A"/>
    <w:rsid w:val="00E41CC6"/>
    <w:rsid w:val="00E4450C"/>
    <w:rsid w:val="00E66F5D"/>
    <w:rsid w:val="00E850E7"/>
    <w:rsid w:val="00ED2EEB"/>
    <w:rsid w:val="00ED4A15"/>
    <w:rsid w:val="00F229DE"/>
    <w:rsid w:val="00F304D3"/>
    <w:rsid w:val="00F4663F"/>
    <w:rsid w:val="00FD560E"/>
    <w:rsid w:val="00FD57F8"/>
    <w:rsid w:val="00FF0F12"/>
    <w:rsid w:val="00FF60C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mer_m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106</TotalTime>
  <Pages>3</Pages>
  <Words>695</Words>
  <Characters>4054</Characters>
  <Application>Microsoft Office Word</Application>
  <DocSecurity>8</DocSecurity>
  <Lines>106</Lines>
  <Paragraphs>23</Paragraphs>
  <ScaleCrop>false</ScaleCrop>
  <HeadingPairs>
    <vt:vector size="2" baseType="variant">
      <vt:variant>
        <vt:lpstr>Title</vt:lpstr>
      </vt:variant>
      <vt:variant>
        <vt:i4>1</vt:i4>
      </vt:variant>
    </vt:vector>
  </HeadingPairs>
  <TitlesOfParts>
    <vt:vector size="1" baseType="lpstr">
      <vt:lpstr>5921-S.E AMH KAGI PAME 162</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5921-S.E AMH KAGI PAME 162</dc:title>
  <dc:subject/>
  <dc:creator>Melissa Palmer</dc:creator>
  <cp:keywords/>
  <dc:description/>
  <cp:lastModifiedBy>Melissa Palmer</cp:lastModifiedBy>
  <cp:revision>26</cp:revision>
  <cp:lastPrinted>2011-05-13T16:25:00Z</cp:lastPrinted>
  <dcterms:created xsi:type="dcterms:W3CDTF">2011-05-13T03:27:00Z</dcterms:created>
  <dcterms:modified xsi:type="dcterms:W3CDTF">2011-05-13T16:25:00Z</dcterms:modified>
</cp:coreProperties>
</file>