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907F0" w:rsidP="0072541D">
          <w:pPr>
            <w:pStyle w:val="AmendDocName"/>
          </w:pPr>
          <w:customXml w:element="BillDocName">
            <w:r>
              <w:t xml:space="preserve">1627-S</w:t>
            </w:r>
          </w:customXml>
          <w:customXml w:element="AmendType">
            <w:r>
              <w:t xml:space="preserve"> AMH</w:t>
            </w:r>
          </w:customXml>
          <w:customXml w:element="SponsorAcronym">
            <w:r>
              <w:t xml:space="preserve"> TAYL</w:t>
            </w:r>
          </w:customXml>
          <w:customXml w:element="DrafterAcronym">
            <w:r>
              <w:t xml:space="preserve"> MOET</w:t>
            </w:r>
          </w:customXml>
          <w:customXml w:element="DraftNumber">
            <w:r>
              <w:t xml:space="preserve"> 531</w:t>
            </w:r>
          </w:customXml>
        </w:p>
      </w:customXml>
      <w:customXml w:element="Heading">
        <w:p w:rsidR="00DF5D0E" w:rsidRDefault="007907F0">
          <w:customXml w:element="ReferenceNumber">
            <w:r w:rsidR="004D24C2">
              <w:rPr>
                <w:b/>
                <w:u w:val="single"/>
              </w:rPr>
              <w:t>SHB 1627</w:t>
            </w:r>
            <w:r w:rsidR="00DE256E">
              <w:t xml:space="preserve"> - </w:t>
            </w:r>
          </w:customXml>
          <w:customXml w:element="Floor">
            <w:r w:rsidR="004D24C2">
              <w:t>H AMD</w:t>
            </w:r>
          </w:customXml>
          <w:customXml w:element="AmendNumber">
            <w:r>
              <w:rPr>
                <w:b/>
              </w:rPr>
              <w:t xml:space="preserve"> 360</w:t>
            </w:r>
          </w:customXml>
        </w:p>
        <w:p w:rsidR="00DF5D0E" w:rsidRDefault="007907F0" w:rsidP="00605C39">
          <w:pPr>
            <w:ind w:firstLine="576"/>
          </w:pPr>
          <w:customXml w:element="Sponsors">
            <w:r>
              <w:t xml:space="preserve">By Representative Taylor</w:t>
            </w:r>
          </w:customXml>
        </w:p>
        <w:p w:rsidR="00DF5D0E" w:rsidRDefault="007907F0" w:rsidP="00846034">
          <w:pPr>
            <w:spacing w:line="408" w:lineRule="exact"/>
            <w:jc w:val="right"/>
            <w:rPr>
              <w:b/>
              <w:bCs/>
            </w:rPr>
          </w:pPr>
          <w:customXml w:element="FloorAction"/>
        </w:p>
      </w:customXml>
      <w:customXml w:element="Page">
        <w:permStart w:id="0" w:edGrp="everyone" w:displacedByCustomXml="prev"/>
        <w:p w:rsidR="0018141B" w:rsidRDefault="007907F0" w:rsidP="00C73EBF">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4D24C2">
            <w:t xml:space="preserve">On page </w:t>
          </w:r>
          <w:r w:rsidR="0018141B">
            <w:t>3, after line 35, insert the following:</w:t>
          </w:r>
        </w:p>
        <w:p w:rsidR="0018141B" w:rsidRDefault="0018141B" w:rsidP="00C73EBF">
          <w:pPr>
            <w:pStyle w:val="RCWSLText"/>
          </w:pPr>
          <w:r>
            <w:tab/>
            <w:t>"</w:t>
          </w:r>
          <w:r>
            <w:rPr>
              <w:u w:val="single"/>
            </w:rPr>
            <w:t>NEW SECTION.</w:t>
          </w:r>
          <w:r>
            <w:rPr>
              <w:b/>
            </w:rPr>
            <w:t xml:space="preserve"> Sec. 2.</w:t>
          </w:r>
          <w:r>
            <w:t xml:space="preserve">  A new section is added to chapter 36.93 RCW to read as follows:  (1) If a board chooses to expand an annexation proposal under RCW 36.93.150, the board must, for the area proposed for expansion:</w:t>
          </w:r>
        </w:p>
        <w:p w:rsidR="0018141B" w:rsidRDefault="0018141B" w:rsidP="00C73EBF">
          <w:pPr>
            <w:pStyle w:val="RCWSLText"/>
          </w:pPr>
          <w:r>
            <w:tab/>
            <w:t>(a) Encourage counties and cities to identify the existing general distribution and location of various land uses, the approximate acreage, and general range of density or intensity of existing uses;</w:t>
          </w:r>
        </w:p>
        <w:p w:rsidR="0018141B" w:rsidRDefault="0018141B" w:rsidP="00C73EBF">
          <w:pPr>
            <w:pStyle w:val="RCWSLText"/>
          </w:pPr>
          <w:r>
            <w:tab/>
            <w:t>(b) Encourage counties and cities to estimate the extent to which existing buildings and housing, together with development or redevelopment of vacant, partially used and underutilized land, can support anticipated growth over the planning period.  Redevelopment of fully built properties may also be considered.  An estimation of development or redevelopment capacity under this subsection may include:</w:t>
          </w:r>
        </w:p>
        <w:p w:rsidR="0018141B" w:rsidRDefault="0018141B" w:rsidP="00C73EBF">
          <w:pPr>
            <w:pStyle w:val="RCWSLText"/>
          </w:pPr>
          <w:r>
            <w:tab/>
            <w:t>(i) An identification of individual properties or areas likely to convert because of market pressure or because they are built below allowed densities; or</w:t>
          </w:r>
        </w:p>
        <w:p w:rsidR="0018141B" w:rsidRDefault="0018141B" w:rsidP="00C73EBF">
          <w:pPr>
            <w:pStyle w:val="RCWSLText"/>
          </w:pPr>
          <w:r>
            <w:tab/>
            <w:t>(ii) The use of an estimated percentage of area-wide growth during the planning period anticipated to occur through redevelopment, based on likely future trends for the local area or comparable jurisdictions; or</w:t>
          </w:r>
        </w:p>
        <w:p w:rsidR="0018141B" w:rsidRDefault="0018141B" w:rsidP="00C73EBF">
          <w:pPr>
            <w:pStyle w:val="RCWSLText"/>
          </w:pPr>
          <w:r>
            <w:tab/>
            <w:t>(iii) A combination of (i) and (ii) of this subsection;</w:t>
          </w:r>
        </w:p>
        <w:p w:rsidR="0018141B" w:rsidRDefault="0018141B" w:rsidP="00C73EBF">
          <w:pPr>
            <w:pStyle w:val="RCWSLText"/>
          </w:pPr>
          <w:r>
            <w:tab/>
            <w:t>(c) Estimate the development or redevelopment capacity;</w:t>
          </w:r>
        </w:p>
        <w:p w:rsidR="0018141B" w:rsidRDefault="0018141B" w:rsidP="00C73EBF">
          <w:pPr>
            <w:pStyle w:val="RCWSLText"/>
          </w:pPr>
          <w:r>
            <w:t xml:space="preserve">    (d) Identify special characteristics and uses of the land which may influence land use or regulation including: The location of agriculture, forest and mineral resource lands of long-term commercial </w:t>
          </w:r>
          <w:r>
            <w:lastRenderedPageBreak/>
            <w:t>significance; the general location of any known critical areas that limit suitability of land for development; and influences or threats to the quality and quantity of ground water used for public water supplies;</w:t>
          </w:r>
        </w:p>
        <w:p w:rsidR="0018141B" w:rsidRDefault="0018141B" w:rsidP="00C73EBF">
          <w:pPr>
            <w:pStyle w:val="RCWSLText"/>
          </w:pPr>
          <w:r>
            <w:tab/>
            <w:t>(e) Identify critical aquifer recharge areas that identify areas where potentially hazardous material use should be limited, or for direction on where managing development practices that influence the aquifer would be important;</w:t>
          </w:r>
        </w:p>
        <w:p w:rsidR="0018141B" w:rsidRDefault="0018141B" w:rsidP="00C73EBF">
          <w:pPr>
            <w:pStyle w:val="RCWSLText"/>
          </w:pPr>
          <w:r>
            <w:tab/>
            <w:t>(f) Identify existing or potential open space corridors within and between urban growth areas as required by RCW 36.70A.160 for recreation, wildlife habitat, trails, and connection of critical areas as defined in RCW 36.70A.030;</w:t>
          </w:r>
        </w:p>
        <w:p w:rsidR="0018141B" w:rsidRDefault="0018141B" w:rsidP="00C73EBF">
          <w:pPr>
            <w:pStyle w:val="RCWSLText"/>
          </w:pPr>
          <w:r>
            <w:tab/>
            <w:t>(g) Identify, where applicable, sites that are particularly well suited for industry. In satisfying the requirements of this subsection, the board should consult WAC 365-196-310 (3)(c)(iv) for information on industrial land uses. For counties, the process described in WAC 365-196-465 and 365-196-470 may be relevant for industrial areas outside of an urban growth area;</w:t>
          </w:r>
        </w:p>
        <w:p w:rsidR="0018141B" w:rsidRDefault="0018141B" w:rsidP="00C73EBF">
          <w:pPr>
            <w:pStyle w:val="RCWSLText"/>
          </w:pPr>
          <w:r>
            <w:tab/>
            <w:t>(h) Identify other features that may be relevant to an information gathering process, including information pertaining to view corridors, brownfield sites, national scenic areas, historic districts, or other opportunity sites, or other special characteristics which may be useful to inform future land use decisions;</w:t>
          </w:r>
        </w:p>
        <w:p w:rsidR="0018141B" w:rsidRDefault="0018141B" w:rsidP="00C73EBF">
          <w:pPr>
            <w:pStyle w:val="RCWSLText"/>
          </w:pPr>
          <w:r>
            <w:tab/>
            <w:t>(i) Review drainage, flooding, and storm water runoff in the annexation area or nearby jurisdictions and provide guidance for corrective actions to mitigate or cleanse those discharges that pollute waters of the state, including Puget Sound or waters entering Puget Sound. Water quality information may be integrated from the following sources: Planning and regulatory requirements of municipal storm water general permits issued by the department of ecology that apply to the county or city; local waters listed under Washington state's water quality assessment and any water quality concerns associated with those waters; and interjurisdictional plans, such as total maximum daily load;</w:t>
          </w:r>
        </w:p>
        <w:p w:rsidR="0018141B" w:rsidRDefault="0018141B" w:rsidP="00C73EBF">
          <w:pPr>
            <w:pStyle w:val="RCWSLText"/>
          </w:pPr>
          <w:r>
            <w:lastRenderedPageBreak/>
            <w:tab/>
            <w:t>(j) Obtain twenty-year population allocations for their planning area as part of a county-wide process described in WAC 365-196-305(4) and 365-196-310. Using information from the housing needs analysis, identify the amount of land suitable for development at a variety of densities consistent with the number and type of residential units likely to be needed over the planning period. At a minimum, cities must plan for the population allocated to them, but may plan for additional population within incorporated areas;</w:t>
          </w:r>
        </w:p>
        <w:p w:rsidR="0018141B" w:rsidRDefault="0018141B" w:rsidP="00C73EBF">
          <w:pPr>
            <w:pStyle w:val="RCWSLText"/>
          </w:pPr>
          <w:r>
            <w:tab/>
            <w:t>(k) Consider estimating the level of commercial space, and industrial land needed using information from the economic development element, if available, or from other relevant economic development plans; and</w:t>
          </w:r>
        </w:p>
        <w:p w:rsidR="0018141B" w:rsidRDefault="0018141B" w:rsidP="00C73EBF">
          <w:pPr>
            <w:pStyle w:val="RCWSLText"/>
          </w:pPr>
          <w:r>
            <w:t xml:space="preserve">     (l) Identify, if possible, the general location and estimated quantity of land needed for public purposes such as utility corridors, landfills or solid waste transfer stations, sewage treatment facilities, storm water management facilities, recreation, schools, and other public uses. Counties and cities should consider corridors needed for transportation including automobile, rail, and trail use in and between planning areas, consistent with the transportation element adopted under chapter 36.70A RCW and coordinate with adjacent jurisdictions for connectivity."</w:t>
          </w:r>
        </w:p>
        <w:p w:rsidR="0018141B" w:rsidRDefault="0018141B" w:rsidP="00C73EBF">
          <w:pPr>
            <w:pStyle w:val="RCWSLText"/>
          </w:pPr>
        </w:p>
        <w:p w:rsidR="004D24C2" w:rsidRDefault="0018141B" w:rsidP="00C8108C">
          <w:pPr>
            <w:pStyle w:val="Page"/>
          </w:pPr>
          <w:r>
            <w:tab/>
            <w:t>Correct the title.</w:t>
          </w:r>
        </w:p>
        <w:p w:rsidR="00DF5D0E" w:rsidRPr="00C8108C" w:rsidRDefault="007907F0" w:rsidP="004D24C2">
          <w:pPr>
            <w:pStyle w:val="RCWSLText"/>
            <w:suppressLineNumbers/>
          </w:pPr>
        </w:p>
      </w:customXml>
      <w:permEnd w:id="0" w:displacedByCustomXml="next"/>
      <w:customXml w:element="Effect">
        <w:p w:rsidR="00ED2EEB" w:rsidRDefault="00ED2EEB" w:rsidP="004D24C2">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4D24C2">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4D24C2">
                <w:pPr>
                  <w:pStyle w:val="Effect"/>
                  <w:suppressLineNumbers/>
                  <w:shd w:val="clear" w:color="auto" w:fill="auto"/>
                  <w:ind w:left="0" w:firstLine="0"/>
                </w:pPr>
                <w:r w:rsidRPr="0096303F">
                  <w:tab/>
                </w:r>
                <w:r w:rsidR="001C1B27" w:rsidRPr="0096303F">
                  <w:rPr>
                    <w:u w:val="single"/>
                  </w:rPr>
                  <w:t>EFFECT:</w:t>
                </w:r>
                <w:r w:rsidR="001C1B27" w:rsidRPr="0096303F">
                  <w:t>  </w:t>
                </w:r>
                <w:r w:rsidR="00117876">
                  <w:t>Establishes numerous procedural requirements for boundary review boards that choose to expand the amount of territory proposed for annexation.</w:t>
                </w:r>
                <w:r w:rsidR="00117876" w:rsidRPr="0096303F">
                  <w:t> </w:t>
                </w:r>
                <w:r w:rsidR="001C1B27" w:rsidRPr="0096303F">
                  <w:t> </w:t>
                </w:r>
              </w:p>
              <w:p w:rsidR="001B4E53" w:rsidRPr="007D1589" w:rsidRDefault="001B4E53" w:rsidP="004D24C2">
                <w:pPr>
                  <w:pStyle w:val="ListBullet"/>
                  <w:numPr>
                    <w:ilvl w:val="0"/>
                    <w:numId w:val="0"/>
                  </w:numPr>
                  <w:suppressLineNumbers/>
                </w:pPr>
              </w:p>
            </w:tc>
          </w:tr>
        </w:tbl>
        <w:p w:rsidR="00DF5D0E" w:rsidRDefault="007907F0" w:rsidP="004D24C2">
          <w:pPr>
            <w:pStyle w:val="BillEnd"/>
            <w:suppressLineNumbers/>
          </w:pPr>
        </w:p>
        <w:permEnd w:id="1" w:displacedByCustomXml="next"/>
      </w:customXml>
      <w:p w:rsidR="00DF5D0E" w:rsidRDefault="00DE256E" w:rsidP="004D24C2">
        <w:pPr>
          <w:pStyle w:val="BillEnd"/>
          <w:suppressLineNumbers/>
        </w:pPr>
        <w:r>
          <w:rPr>
            <w:b/>
          </w:rPr>
          <w:t>--- END ---</w:t>
        </w:r>
      </w:p>
      <w:p w:rsidR="00DF5D0E" w:rsidRDefault="007907F0" w:rsidP="004D24C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4C2" w:rsidRDefault="004D24C2" w:rsidP="00DF5D0E">
      <w:r>
        <w:separator/>
      </w:r>
    </w:p>
  </w:endnote>
  <w:endnote w:type="continuationSeparator" w:id="0">
    <w:p w:rsidR="004D24C2" w:rsidRDefault="004D24C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860" w:rsidRDefault="004578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907F0">
    <w:pPr>
      <w:pStyle w:val="AmendDraftFooter"/>
    </w:pPr>
    <w:fldSimple w:instr=" TITLE   \* MERGEFORMAT ">
      <w:r w:rsidR="006165E8">
        <w:t>1627-S AMH .... MOET 531</w:t>
      </w:r>
    </w:fldSimple>
    <w:r w:rsidR="001B4E53">
      <w:tab/>
    </w:r>
    <w:fldSimple w:instr=" PAGE  \* Arabic  \* MERGEFORMAT ">
      <w:r w:rsidR="006165E8">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907F0">
    <w:pPr>
      <w:pStyle w:val="AmendDraftFooter"/>
    </w:pPr>
    <w:fldSimple w:instr=" TITLE   \* MERGEFORMAT ">
      <w:r w:rsidR="006165E8">
        <w:t>1627-S AMH .... MOET 531</w:t>
      </w:r>
    </w:fldSimple>
    <w:r w:rsidR="001B4E53">
      <w:tab/>
    </w:r>
    <w:fldSimple w:instr=" PAGE  \* Arabic  \* MERGEFORMAT ">
      <w:r w:rsidR="006165E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4C2" w:rsidRDefault="004D24C2" w:rsidP="00DF5D0E">
      <w:r>
        <w:separator/>
      </w:r>
    </w:p>
  </w:footnote>
  <w:footnote w:type="continuationSeparator" w:id="0">
    <w:p w:rsidR="004D24C2" w:rsidRDefault="004D24C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860" w:rsidRDefault="004578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907F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907F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17876"/>
    <w:rsid w:val="00146AAF"/>
    <w:rsid w:val="0018141B"/>
    <w:rsid w:val="001A775A"/>
    <w:rsid w:val="001B4E53"/>
    <w:rsid w:val="001C1B27"/>
    <w:rsid w:val="001E6675"/>
    <w:rsid w:val="00217E8A"/>
    <w:rsid w:val="00281CBD"/>
    <w:rsid w:val="00316CD9"/>
    <w:rsid w:val="003E2FC6"/>
    <w:rsid w:val="00457860"/>
    <w:rsid w:val="00492DDC"/>
    <w:rsid w:val="004C6615"/>
    <w:rsid w:val="004D24C2"/>
    <w:rsid w:val="00523C5A"/>
    <w:rsid w:val="005E69C3"/>
    <w:rsid w:val="00605C39"/>
    <w:rsid w:val="006165E8"/>
    <w:rsid w:val="006841E6"/>
    <w:rsid w:val="006F7027"/>
    <w:rsid w:val="0072335D"/>
    <w:rsid w:val="0072541D"/>
    <w:rsid w:val="007769AF"/>
    <w:rsid w:val="007907F0"/>
    <w:rsid w:val="007D1589"/>
    <w:rsid w:val="007D35D4"/>
    <w:rsid w:val="00804DBC"/>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_et\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3</Pages>
  <Words>774</Words>
  <Characters>4474</Characters>
  <Application>Microsoft Office Word</Application>
  <DocSecurity>8</DocSecurity>
  <Lines>101</Lines>
  <Paragraphs>27</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1627-S AMH TAYL MOET 531</dc:title>
  <dc:subject/>
  <dc:creator>Ethan Moreno</dc:creator>
  <cp:keywords/>
  <dc:description/>
  <cp:lastModifiedBy>Ethan Moreno</cp:lastModifiedBy>
  <cp:revision>5</cp:revision>
  <cp:lastPrinted>2011-03-05T06:04:00Z</cp:lastPrinted>
  <dcterms:created xsi:type="dcterms:W3CDTF">2011-03-05T06:03:00Z</dcterms:created>
  <dcterms:modified xsi:type="dcterms:W3CDTF">2011-03-05T06:04:00Z</dcterms:modified>
</cp:coreProperties>
</file>