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97F54" w:rsidP="0072541D">
          <w:pPr>
            <w:pStyle w:val="AmendDocName"/>
          </w:pPr>
          <w:customXml w:element="BillDocName">
            <w:r>
              <w:t xml:space="preserve">6261.E</w:t>
            </w:r>
          </w:customXml>
          <w:customXml w:element="AmendType">
            <w:r>
              <w:t xml:space="preserve"> AMH</w:t>
            </w:r>
          </w:customXml>
          <w:customXml w:element="SponsorAcronym">
            <w:r>
              <w:t xml:space="preserve"> WILL</w:t>
            </w:r>
          </w:customXml>
          <w:customXml w:element="DrafterAcronym">
            <w:r>
              <w:t xml:space="preserve"> KENB</w:t>
            </w:r>
          </w:customXml>
          <w:customXml w:element="DraftNumber">
            <w:r>
              <w:t xml:space="preserve"> 067</w:t>
            </w:r>
          </w:customXml>
        </w:p>
      </w:customXml>
      <w:customXml w:element="Heading">
        <w:p w:rsidR="00DF5D0E" w:rsidRDefault="00697F54">
          <w:customXml w:element="ReferenceNumber">
            <w:r w:rsidR="007B5FD8">
              <w:rPr>
                <w:b/>
                <w:u w:val="single"/>
              </w:rPr>
              <w:t>ESB 6261</w:t>
            </w:r>
            <w:r w:rsidR="00DE256E">
              <w:t xml:space="preserve"> - </w:t>
            </w:r>
          </w:customXml>
          <w:customXml w:element="Floor">
            <w:r w:rsidR="007B5FD8">
              <w:t>H AMD TO LGH COMM AMD (H5381.1/10)</w:t>
            </w:r>
          </w:customXml>
          <w:customXml w:element="AmendNumber">
            <w:r>
              <w:rPr>
                <w:b/>
              </w:rPr>
              <w:t xml:space="preserve"> 1486</w:t>
            </w:r>
          </w:customXml>
        </w:p>
        <w:p w:rsidR="00DF5D0E" w:rsidRDefault="00697F54" w:rsidP="00605C39">
          <w:pPr>
            <w:ind w:firstLine="576"/>
          </w:pPr>
          <w:customXml w:element="Sponsors">
            <w:r>
              <w:t xml:space="preserve">By Representative Williams</w:t>
            </w:r>
          </w:customXml>
        </w:p>
        <w:p w:rsidR="00DF5D0E" w:rsidRDefault="00697F54" w:rsidP="00846034">
          <w:pPr>
            <w:spacing w:line="408" w:lineRule="exact"/>
            <w:jc w:val="right"/>
            <w:rPr>
              <w:b/>
              <w:bCs/>
            </w:rPr>
          </w:pPr>
          <w:customXml w:element="FloorAction">
            <w:r>
              <w:t xml:space="preserve">ADOPTED 3/04/2010</w:t>
            </w:r>
          </w:customXml>
        </w:p>
      </w:customXml>
      <w:permStart w:id="0" w:edGrp="everyone" w:displacedByCustomXml="next"/>
      <w:customXml w:element="Page">
        <w:p w:rsidR="00CA426A" w:rsidRDefault="00697F54" w:rsidP="00CA426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A426A">
            <w:t>On page 1, line 15 of the striking amendment, before "</w:t>
          </w:r>
          <w:r w:rsidR="00CA426A" w:rsidRPr="00C5723B">
            <w:t>rental</w:t>
          </w:r>
          <w:r w:rsidR="00CA426A">
            <w:t>" insert "</w:t>
          </w:r>
          <w:r w:rsidR="00CA426A">
            <w:rPr>
              <w:u w:val="single"/>
            </w:rPr>
            <w:t>residential</w:t>
          </w:r>
          <w:r w:rsidR="00CA426A">
            <w:t>"</w:t>
          </w:r>
        </w:p>
        <w:p w:rsidR="00CA426A" w:rsidRDefault="00CA426A" w:rsidP="00CA426A">
          <w:pPr>
            <w:pStyle w:val="RCWSLText"/>
          </w:pPr>
        </w:p>
        <w:p w:rsidR="00CA426A" w:rsidRDefault="00CA426A" w:rsidP="00CA426A">
          <w:pPr>
            <w:pStyle w:val="RCWSLText"/>
          </w:pPr>
          <w:r>
            <w:tab/>
            <w:t xml:space="preserve">On page 1, line 18 of the striking amendment, </w:t>
          </w:r>
          <w:r w:rsidR="00C5723B">
            <w:t xml:space="preserve">before "tenant's" </w:t>
          </w:r>
          <w:r>
            <w:t>insert "</w:t>
          </w:r>
          <w:r w:rsidRPr="00925FEE">
            <w:rPr>
              <w:u w:val="single"/>
            </w:rPr>
            <w:t>residential</w:t>
          </w:r>
          <w:r>
            <w:t xml:space="preserve">" </w:t>
          </w:r>
        </w:p>
        <w:p w:rsidR="00CA426A" w:rsidRDefault="00CA426A" w:rsidP="00CA426A">
          <w:pPr>
            <w:pStyle w:val="RCWSLText"/>
          </w:pPr>
        </w:p>
        <w:p w:rsidR="00CA426A" w:rsidRDefault="00CA426A" w:rsidP="00CA426A">
          <w:pPr>
            <w:pStyle w:val="RCWSLText"/>
          </w:pPr>
          <w:r>
            <w:tab/>
            <w:t>On page 1, line 23 of the striking amendment, after "</w:t>
          </w:r>
          <w:r w:rsidRPr="00D9459D">
            <w:t>duplicates of</w:t>
          </w:r>
          <w:r>
            <w:t>" insert "</w:t>
          </w:r>
          <w:r>
            <w:rPr>
              <w:u w:val="single"/>
            </w:rPr>
            <w:t>residential</w:t>
          </w:r>
          <w:r>
            <w:t>"</w:t>
          </w:r>
        </w:p>
        <w:p w:rsidR="00CA426A" w:rsidRDefault="00CA426A" w:rsidP="00CA426A">
          <w:pPr>
            <w:pStyle w:val="RCWSLText"/>
          </w:pPr>
        </w:p>
        <w:p w:rsidR="00CA426A" w:rsidRPr="00925FEE" w:rsidRDefault="00CA426A" w:rsidP="00CA426A">
          <w:pPr>
            <w:pStyle w:val="RCWSLText"/>
          </w:pPr>
          <w:r>
            <w:tab/>
            <w:t>On page 2, line 2 of the striking amendment, after "for the" insert "</w:t>
          </w:r>
          <w:r>
            <w:rPr>
              <w:u w:val="single"/>
            </w:rPr>
            <w:t>residential</w:t>
          </w:r>
          <w:r>
            <w:t>"</w:t>
          </w:r>
        </w:p>
        <w:p w:rsidR="00CA426A" w:rsidRDefault="00CA426A" w:rsidP="00CA426A">
          <w:pPr>
            <w:pStyle w:val="Page"/>
          </w:pPr>
        </w:p>
        <w:p w:rsidR="00CA426A" w:rsidRDefault="00CA426A" w:rsidP="00CA426A">
          <w:pPr>
            <w:pStyle w:val="Page"/>
          </w:pPr>
          <w:r>
            <w:tab/>
            <w:t>On page 2, beginning on line 15 of the striking amendment, strike all of subsection (5) and insert the following:</w:t>
          </w:r>
        </w:p>
        <w:p w:rsidR="00CA426A" w:rsidRDefault="00CA426A" w:rsidP="00CA426A">
          <w:pPr>
            <w:pStyle w:val="RCWSLText"/>
          </w:pPr>
        </w:p>
        <w:p w:rsidR="00CA426A" w:rsidRPr="00CA0115" w:rsidRDefault="00CA426A" w:rsidP="00CA426A">
          <w:pPr>
            <w:pStyle w:val="RCWSLText"/>
            <w:rPr>
              <w:spacing w:val="0"/>
              <w:u w:val="single"/>
            </w:rPr>
          </w:pPr>
          <w:r w:rsidRPr="00662491">
            <w:rPr>
              <w:spacing w:val="0"/>
            </w:rPr>
            <w:tab/>
          </w:r>
          <w:r w:rsidRPr="00CA0115">
            <w:rPr>
              <w:spacing w:val="0"/>
            </w:rPr>
            <w:t>"</w:t>
          </w:r>
          <w:r w:rsidRPr="00CA0115">
            <w:rPr>
              <w:spacing w:val="0"/>
              <w:u w:val="single"/>
            </w:rPr>
            <w:t xml:space="preserve">(5)(a) </w:t>
          </w:r>
          <w:r>
            <w:rPr>
              <w:spacing w:val="0"/>
              <w:u w:val="single"/>
            </w:rPr>
            <w:t>If</w:t>
          </w:r>
          <w:r w:rsidRPr="00CA0115">
            <w:rPr>
              <w:spacing w:val="0"/>
              <w:u w:val="single"/>
            </w:rPr>
            <w:t xml:space="preserve"> </w:t>
          </w:r>
          <w:r>
            <w:rPr>
              <w:spacing w:val="0"/>
              <w:u w:val="single"/>
            </w:rPr>
            <w:t xml:space="preserve">an </w:t>
          </w:r>
          <w:r w:rsidRPr="00CA0115">
            <w:rPr>
              <w:spacing w:val="0"/>
              <w:u w:val="single"/>
            </w:rPr>
            <w:t>occupied multiple re</w:t>
          </w:r>
          <w:r>
            <w:rPr>
              <w:spacing w:val="0"/>
              <w:u w:val="single"/>
            </w:rPr>
            <w:t>sidential rental unit receives</w:t>
          </w:r>
          <w:r w:rsidRPr="00CA0115">
            <w:rPr>
              <w:spacing w:val="0"/>
              <w:u w:val="single"/>
            </w:rPr>
            <w:t xml:space="preserve"> utility service through a single utility account, </w:t>
          </w:r>
          <w:r>
            <w:rPr>
              <w:spacing w:val="0"/>
              <w:u w:val="single"/>
            </w:rPr>
            <w:t>if</w:t>
          </w:r>
          <w:r w:rsidRPr="00CA0115">
            <w:rPr>
              <w:spacing w:val="0"/>
              <w:u w:val="single"/>
            </w:rPr>
            <w:t xml:space="preserve"> the utility account’s billing address is not the same as the service address of a residential rental property,  or </w:t>
          </w:r>
          <w:r>
            <w:rPr>
              <w:spacing w:val="0"/>
              <w:u w:val="single"/>
            </w:rPr>
            <w:t>if</w:t>
          </w:r>
          <w:r w:rsidRPr="00CA0115">
            <w:rPr>
              <w:spacing w:val="0"/>
              <w:u w:val="single"/>
            </w:rPr>
            <w:t xml:space="preserve"> the city or town has been notified that a tenant resides at the service address, the city or town shall make a good faith and reasonable effort to provide written notice to the service address of pending disconnection of  electric power and light or water service for nonpayment at least seven calendar days prior to disconnection</w:t>
          </w:r>
          <w:r>
            <w:rPr>
              <w:spacing w:val="0"/>
              <w:u w:val="single"/>
            </w:rPr>
            <w:t>.  The purpose of this notice is to provide</w:t>
          </w:r>
          <w:r w:rsidRPr="00CA0115">
            <w:rPr>
              <w:spacing w:val="0"/>
              <w:u w:val="single"/>
            </w:rPr>
            <w:t xml:space="preserve"> any affected tenant an opportunity to resolve the delinquency with his or her landlord or to arrange for continued service.  If requested, a city or town shall provide electric power </w:t>
          </w:r>
          <w:r w:rsidRPr="00CA0115">
            <w:rPr>
              <w:spacing w:val="0"/>
              <w:u w:val="single"/>
            </w:rPr>
            <w:lastRenderedPageBreak/>
            <w:t xml:space="preserve">and light or water services to an affected tenant on the same terms and conditions as other residential utility customers, without requiring that he or she pay delinquent amounts for services billed directly to the property owner or a previous tenant except as otherwise allowed by law and only where the city or town offers the opportunity for the affected tenant to set up a reasonable payment plan for the delinquent amounts legally due.  </w:t>
          </w:r>
          <w:r>
            <w:rPr>
              <w:spacing w:val="0"/>
              <w:u w:val="single"/>
            </w:rPr>
            <w:t>If a landlord fails to pay for electric power and light or water services, any</w:t>
          </w:r>
          <w:r w:rsidRPr="00CA0115">
            <w:rPr>
              <w:spacing w:val="0"/>
              <w:u w:val="single"/>
            </w:rPr>
            <w:t xml:space="preserve"> tenant who requests that </w:t>
          </w:r>
          <w:r>
            <w:rPr>
              <w:spacing w:val="0"/>
              <w:u w:val="single"/>
            </w:rPr>
            <w:t>the</w:t>
          </w:r>
          <w:r w:rsidRPr="00CA0115">
            <w:rPr>
              <w:spacing w:val="0"/>
              <w:u w:val="single"/>
            </w:rPr>
            <w:t xml:space="preserve"> services be placed in his or her name may deduct from the rent due all reasonable charges paid by the tenant to the city or town for such services.  A landlord may not take or threaten to take reprisals or retaliatory action as defined in RCW 59.18.240 against a tenant who deducts from </w:t>
          </w:r>
          <w:r w:rsidR="00C5723B">
            <w:rPr>
              <w:spacing w:val="0"/>
              <w:u w:val="single"/>
            </w:rPr>
            <w:t>his or her</w:t>
          </w:r>
          <w:r w:rsidRPr="00CA0115">
            <w:rPr>
              <w:spacing w:val="0"/>
              <w:u w:val="single"/>
            </w:rPr>
            <w:t xml:space="preserve"> rent payments made to a city or town as provided in this subsection.</w:t>
          </w:r>
        </w:p>
        <w:p w:rsidR="00CA426A" w:rsidRPr="00523C5A" w:rsidRDefault="00CA426A" w:rsidP="00CA426A">
          <w:pPr>
            <w:pStyle w:val="RCWSLText"/>
          </w:pPr>
          <w:r w:rsidRPr="00CA0115">
            <w:rPr>
              <w:spacing w:val="0"/>
            </w:rPr>
            <w:tab/>
          </w:r>
          <w:r w:rsidRPr="00CA0115">
            <w:rPr>
              <w:spacing w:val="0"/>
              <w:u w:val="single"/>
            </w:rPr>
            <w:t xml:space="preserve">(b) </w:t>
          </w:r>
          <w:r>
            <w:rPr>
              <w:spacing w:val="0"/>
              <w:u w:val="single"/>
            </w:rPr>
            <w:t>Nothing in t</w:t>
          </w:r>
          <w:r w:rsidRPr="00CA0115">
            <w:rPr>
              <w:spacing w:val="0"/>
              <w:u w:val="single"/>
            </w:rPr>
            <w:t xml:space="preserve">his subsection </w:t>
          </w:r>
          <w:r>
            <w:rPr>
              <w:spacing w:val="0"/>
              <w:u w:val="single"/>
            </w:rPr>
            <w:t xml:space="preserve">(5) </w:t>
          </w:r>
          <w:r w:rsidRPr="00CA0115">
            <w:rPr>
              <w:spacing w:val="0"/>
              <w:u w:val="single"/>
            </w:rPr>
            <w:t>affect</w:t>
          </w:r>
          <w:r>
            <w:rPr>
              <w:spacing w:val="0"/>
              <w:u w:val="single"/>
            </w:rPr>
            <w:t>s</w:t>
          </w:r>
          <w:r w:rsidRPr="00CA0115">
            <w:rPr>
              <w:spacing w:val="0"/>
              <w:u w:val="single"/>
            </w:rPr>
            <w:t xml:space="preserve"> the validity of any lien authorized by RCW 35.21.290 or 35.67.200. Furthermore, a city or town that provides electric power and light or water services to a residential tenant in these circumstances shall retain the right to collect from the property owner, previous tenant, or both, any delinquent amounts due for service previously provided to the service address </w:t>
          </w:r>
          <w:r w:rsidR="00C5723B">
            <w:rPr>
              <w:spacing w:val="0"/>
              <w:u w:val="single"/>
            </w:rPr>
            <w:t>if</w:t>
          </w:r>
          <w:r w:rsidRPr="00CA0115">
            <w:rPr>
              <w:spacing w:val="0"/>
              <w:u w:val="single"/>
            </w:rPr>
            <w:t xml:space="preserve"> the city or town has complied with the notification requirements of subsection (3) of this section when applicable.</w:t>
          </w:r>
          <w:r w:rsidRPr="00F35D34">
            <w:rPr>
              <w:spacing w:val="0"/>
            </w:rPr>
            <w:t>"</w:t>
          </w:r>
        </w:p>
        <w:p w:rsidR="007B5FD8" w:rsidRDefault="007B5FD8" w:rsidP="00096165">
          <w:pPr>
            <w:pStyle w:val="Page"/>
          </w:pPr>
        </w:p>
        <w:p w:rsidR="00DF5D0E" w:rsidRPr="00523C5A" w:rsidRDefault="00697F54" w:rsidP="007B5FD8">
          <w:pPr>
            <w:pStyle w:val="RCWSLText"/>
            <w:suppressLineNumbers/>
          </w:pPr>
        </w:p>
      </w:customXml>
      <w:customXml w:element="Effect">
        <w:p w:rsidR="00ED2EEB" w:rsidRDefault="00DE256E" w:rsidP="007B5FD8">
          <w:pPr>
            <w:pStyle w:val="Effect"/>
            <w:suppressLineNumbers/>
          </w:pPr>
          <w:r>
            <w:tab/>
          </w:r>
        </w:p>
        <w:p w:rsidR="00CA426A" w:rsidRPr="00CA426A" w:rsidRDefault="00ED2EEB" w:rsidP="00CA426A">
          <w:pPr>
            <w:pStyle w:val="Effect"/>
            <w:rPr>
              <w:spacing w:val="0"/>
            </w:rPr>
          </w:pPr>
          <w:r>
            <w:tab/>
          </w:r>
          <w:r w:rsidR="00DE256E">
            <w:tab/>
          </w:r>
          <w:r w:rsidR="00DE256E" w:rsidRPr="007B5FD8">
            <w:rPr>
              <w:b/>
              <w:u w:val="single"/>
            </w:rPr>
            <w:t>EFFECT:</w:t>
          </w:r>
          <w:r w:rsidR="00DE256E">
            <w:t>   </w:t>
          </w:r>
          <w:r w:rsidR="00CA426A" w:rsidRPr="00CA426A">
            <w:rPr>
              <w:spacing w:val="0"/>
            </w:rPr>
            <w:t>1)Specifies that the act applies to "residential" tenants or rental properties.</w:t>
          </w:r>
        </w:p>
        <w:p w:rsidR="00CA426A" w:rsidRPr="00CA426A" w:rsidRDefault="00CA426A" w:rsidP="00CA426A">
          <w:pPr>
            <w:pStyle w:val="Effect"/>
            <w:rPr>
              <w:spacing w:val="0"/>
            </w:rPr>
          </w:pPr>
          <w:r w:rsidRPr="00CA426A">
            <w:rPr>
              <w:spacing w:val="0"/>
            </w:rPr>
            <w:tab/>
          </w:r>
          <w:r w:rsidRPr="00CA426A">
            <w:rPr>
              <w:spacing w:val="0"/>
            </w:rPr>
            <w:tab/>
            <w:t>2) Requires that a municipality must make a reasonable effort to provide written notice of pending disconnection of electric power and light or water service to the service address at least seven calendar days prior to disconnection if: a) multiple residential rental units receive the service through a single account; b) the billing address of the utility account is not the same as the service address of the rental property; or c) the municipality has been notified that a tenant resides at the service address.</w:t>
          </w:r>
          <w:r w:rsidRPr="00CA426A">
            <w:rPr>
              <w:spacing w:val="0"/>
            </w:rPr>
            <w:tab/>
          </w:r>
          <w:r w:rsidRPr="00CA426A">
            <w:rPr>
              <w:spacing w:val="0"/>
            </w:rPr>
            <w:tab/>
          </w:r>
        </w:p>
        <w:p w:rsidR="00CA426A" w:rsidRPr="00CA426A" w:rsidRDefault="00CA426A" w:rsidP="00CA426A">
          <w:pPr>
            <w:pStyle w:val="Effect"/>
            <w:rPr>
              <w:spacing w:val="0"/>
            </w:rPr>
          </w:pPr>
          <w:r w:rsidRPr="00CA426A">
            <w:rPr>
              <w:spacing w:val="0"/>
            </w:rPr>
            <w:lastRenderedPageBreak/>
            <w:tab/>
          </w:r>
          <w:r w:rsidRPr="00CA426A">
            <w:rPr>
              <w:spacing w:val="0"/>
            </w:rPr>
            <w:tab/>
            <w:t>3) With certain exceptions, specifies that, if requested, a city or town must provide electric power and light or water services to an affected tenant on the same terms and conditions as other utility customers, without requiring that the tenant pay delinquent amounts for services billed directly to the property owner or previous tenant.  In these cases, the tenant may deduct from the rent due all reasonable charges paid by the tenant to the city or town for such services, and a landlord may not take reprisals or retaliatory action against a tenant who deducts from their rent payments for these purposes.</w:t>
          </w:r>
        </w:p>
        <w:p w:rsidR="00CA426A" w:rsidRPr="00CA426A" w:rsidRDefault="00CA426A" w:rsidP="00CA426A">
          <w:pPr>
            <w:pStyle w:val="Effect"/>
            <w:rPr>
              <w:spacing w:val="0"/>
            </w:rPr>
          </w:pPr>
          <w:r w:rsidRPr="00CA426A">
            <w:rPr>
              <w:spacing w:val="0"/>
            </w:rPr>
            <w:tab/>
          </w:r>
          <w:r w:rsidRPr="00CA426A">
            <w:rPr>
              <w:spacing w:val="0"/>
            </w:rPr>
            <w:tab/>
            <w:t>4) Specifies that the provisions of the act do not affect the validity of any lien.</w:t>
          </w:r>
        </w:p>
        <w:p w:rsidR="00CA426A" w:rsidRPr="00CA426A" w:rsidRDefault="00CA426A" w:rsidP="00CA426A">
          <w:pPr>
            <w:pStyle w:val="Effect"/>
            <w:rPr>
              <w:spacing w:val="0"/>
            </w:rPr>
          </w:pPr>
          <w:r w:rsidRPr="00CA426A">
            <w:rPr>
              <w:spacing w:val="0"/>
            </w:rPr>
            <w:tab/>
          </w:r>
          <w:r w:rsidRPr="00CA426A">
            <w:rPr>
              <w:spacing w:val="0"/>
            </w:rPr>
            <w:tab/>
            <w:t>5) Specifies that a municipality retains the right to collect any delinquent amounts due for services previously provided from the property owner, previous tenant, or both.</w:t>
          </w:r>
        </w:p>
        <w:p w:rsidR="007B5FD8" w:rsidRDefault="00697F54" w:rsidP="007B5FD8">
          <w:pPr>
            <w:pStyle w:val="Effect"/>
            <w:suppressLineNumbers/>
          </w:pPr>
        </w:p>
      </w:customXml>
      <w:p w:rsidR="00DF5D0E" w:rsidRPr="007B5FD8" w:rsidRDefault="00DF5D0E" w:rsidP="007B5FD8">
        <w:pPr>
          <w:pStyle w:val="FiscalImpact"/>
          <w:suppressLineNumbers/>
        </w:pPr>
      </w:p>
      <w:permEnd w:id="0"/>
      <w:p w:rsidR="00DF5D0E" w:rsidRDefault="00DF5D0E" w:rsidP="007B5FD8">
        <w:pPr>
          <w:pStyle w:val="AmendSectionPostSpace"/>
          <w:suppressLineNumbers/>
        </w:pPr>
      </w:p>
      <w:p w:rsidR="00DF5D0E" w:rsidRDefault="00DF5D0E" w:rsidP="007B5FD8">
        <w:pPr>
          <w:pStyle w:val="BillEnd"/>
          <w:suppressLineNumbers/>
        </w:pPr>
      </w:p>
      <w:p w:rsidR="00DF5D0E" w:rsidRDefault="00DE256E" w:rsidP="007B5FD8">
        <w:pPr>
          <w:pStyle w:val="BillEnd"/>
          <w:suppressLineNumbers/>
        </w:pPr>
        <w:r>
          <w:rPr>
            <w:b/>
          </w:rPr>
          <w:t>--- END ---</w:t>
        </w:r>
      </w:p>
      <w:p w:rsidR="00DF5D0E" w:rsidRDefault="00697F54" w:rsidP="007B5FD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D8" w:rsidRDefault="007B5FD8" w:rsidP="00DF5D0E">
      <w:r>
        <w:separator/>
      </w:r>
    </w:p>
  </w:endnote>
  <w:endnote w:type="continuationSeparator" w:id="0">
    <w:p w:rsidR="007B5FD8" w:rsidRDefault="007B5FD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4" w:rsidRDefault="00C47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97F54">
    <w:pPr>
      <w:pStyle w:val="AmendDraftFooter"/>
    </w:pPr>
    <w:fldSimple w:instr=" TITLE   \* MERGEFORMAT ">
      <w:r w:rsidR="00810932">
        <w:t>6261.E AMH WILL KENB 067</w:t>
      </w:r>
    </w:fldSimple>
    <w:r w:rsidR="00DE256E">
      <w:tab/>
    </w:r>
    <w:r>
      <w:fldChar w:fldCharType="begin"/>
    </w:r>
    <w:r w:rsidR="00DE256E">
      <w:instrText xml:space="preserve"> PAGE  \* Arabic  \* MERGEFORMAT </w:instrText>
    </w:r>
    <w:r>
      <w:fldChar w:fldCharType="separate"/>
    </w:r>
    <w:r w:rsidR="00810932">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97F54">
    <w:pPr>
      <w:pStyle w:val="AmendDraftFooter"/>
    </w:pPr>
    <w:fldSimple w:instr=" TITLE   \* MERGEFORMAT ">
      <w:r w:rsidR="00810932">
        <w:t>6261.E AMH WILL KENB 067</w:t>
      </w:r>
    </w:fldSimple>
    <w:r w:rsidR="00DE256E">
      <w:tab/>
    </w:r>
    <w:r>
      <w:fldChar w:fldCharType="begin"/>
    </w:r>
    <w:r w:rsidR="00DE256E">
      <w:instrText xml:space="preserve"> PAGE  \* Arabic  \* MERGEFORMAT </w:instrText>
    </w:r>
    <w:r>
      <w:fldChar w:fldCharType="separate"/>
    </w:r>
    <w:r w:rsidR="0081093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D8" w:rsidRDefault="007B5FD8" w:rsidP="00DF5D0E">
      <w:r>
        <w:separator/>
      </w:r>
    </w:p>
  </w:footnote>
  <w:footnote w:type="continuationSeparator" w:id="0">
    <w:p w:rsidR="007B5FD8" w:rsidRDefault="007B5FD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4" w:rsidRDefault="00C473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697F5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697F5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D3083"/>
    <w:rsid w:val="000E603A"/>
    <w:rsid w:val="00106544"/>
    <w:rsid w:val="001A775A"/>
    <w:rsid w:val="001E6675"/>
    <w:rsid w:val="00217E8A"/>
    <w:rsid w:val="00281CBD"/>
    <w:rsid w:val="002B0206"/>
    <w:rsid w:val="00316CD9"/>
    <w:rsid w:val="003E2FC6"/>
    <w:rsid w:val="00492DDC"/>
    <w:rsid w:val="00523C5A"/>
    <w:rsid w:val="00605C39"/>
    <w:rsid w:val="006841E6"/>
    <w:rsid w:val="00697F54"/>
    <w:rsid w:val="006F7027"/>
    <w:rsid w:val="0072335D"/>
    <w:rsid w:val="0072541D"/>
    <w:rsid w:val="007B5FD8"/>
    <w:rsid w:val="007D35D4"/>
    <w:rsid w:val="00810932"/>
    <w:rsid w:val="00846034"/>
    <w:rsid w:val="008C475A"/>
    <w:rsid w:val="00931B84"/>
    <w:rsid w:val="00972869"/>
    <w:rsid w:val="009F23A9"/>
    <w:rsid w:val="00A01F29"/>
    <w:rsid w:val="00A93D4A"/>
    <w:rsid w:val="00AD2D0A"/>
    <w:rsid w:val="00B31D1C"/>
    <w:rsid w:val="00B518D0"/>
    <w:rsid w:val="00B73E0A"/>
    <w:rsid w:val="00B961E0"/>
    <w:rsid w:val="00C47334"/>
    <w:rsid w:val="00C5723B"/>
    <w:rsid w:val="00CA426A"/>
    <w:rsid w:val="00D270AE"/>
    <w:rsid w:val="00D40447"/>
    <w:rsid w:val="00D7780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734</Words>
  <Characters>3653</Characters>
  <Application>Microsoft Office Word</Application>
  <DocSecurity>8</DocSecurity>
  <Lines>93</Lines>
  <Paragraphs>19</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6261.E AMH WILL KENB 067</dc:title>
  <dc:subject/>
  <dc:creator>Washington State Legislature</dc:creator>
  <cp:keywords/>
  <dc:description/>
  <cp:lastModifiedBy>Washington State Legislature</cp:lastModifiedBy>
  <cp:revision>7</cp:revision>
  <cp:lastPrinted>2010-03-04T21:27:00Z</cp:lastPrinted>
  <dcterms:created xsi:type="dcterms:W3CDTF">2010-03-04T20:01:00Z</dcterms:created>
  <dcterms:modified xsi:type="dcterms:W3CDTF">2010-03-04T21:27:00Z</dcterms:modified>
</cp:coreProperties>
</file>