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4264E" w:rsidP="0072541D">
          <w:pPr>
            <w:pStyle w:val="AmendDocName"/>
          </w:pPr>
          <w:customXml w:element="BillDocName">
            <w:r>
              <w:t xml:space="preserve">6161-S</w:t>
            </w:r>
          </w:customXml>
          <w:customXml w:element="AmendType">
            <w:r>
              <w:t xml:space="preserve"> AMH</w:t>
            </w:r>
          </w:customXml>
          <w:customXml w:element="SponsorAcronym">
            <w:r>
              <w:t xml:space="preserve"> ANDG</w:t>
            </w:r>
          </w:customXml>
          <w:customXml w:element="DrafterAcronym">
            <w:r>
              <w:t xml:space="preserve"> PRIN</w:t>
            </w:r>
          </w:customXml>
          <w:customXml w:element="DraftNumber">
            <w:r>
              <w:t xml:space="preserve"> 173</w:t>
            </w:r>
          </w:customXml>
        </w:p>
      </w:customXml>
      <w:customXml w:element="OfferedBy">
        <w:p w:rsidR="00DF5D0E" w:rsidRDefault="00D5339C" w:rsidP="00B73E0A">
          <w:pPr>
            <w:pStyle w:val="OfferedBy"/>
            <w:spacing w:after="120"/>
          </w:pPr>
          <w:r>
            <w:tab/>
          </w:r>
          <w:r>
            <w:tab/>
          </w:r>
          <w:r>
            <w:tab/>
          </w:r>
        </w:p>
      </w:customXml>
      <w:customXml w:element="Heading">
        <w:p w:rsidR="00DF5D0E" w:rsidRDefault="0064264E">
          <w:customXml w:element="ReferenceNumber">
            <w:r w:rsidR="00D5339C">
              <w:rPr>
                <w:b/>
                <w:u w:val="single"/>
              </w:rPr>
              <w:t>SSB 6161</w:t>
            </w:r>
            <w:r w:rsidR="00DE256E">
              <w:t xml:space="preserve"> - </w:t>
            </w:r>
          </w:customXml>
          <w:customXml w:element="Floor">
            <w:r w:rsidR="00D5339C">
              <w:t>H AMD</w:t>
            </w:r>
          </w:customXml>
          <w:customXml w:element="AmendNumber">
            <w:r>
              <w:rPr>
                <w:b/>
              </w:rPr>
              <w:t xml:space="preserve"> 939</w:t>
            </w:r>
          </w:customXml>
        </w:p>
        <w:p w:rsidR="00DF5D0E" w:rsidRDefault="0064264E" w:rsidP="00605C39">
          <w:pPr>
            <w:ind w:firstLine="576"/>
          </w:pPr>
          <w:customXml w:element="Sponsors">
            <w:r>
              <w:t xml:space="preserve">By Representative Anderson</w:t>
            </w:r>
          </w:customXml>
        </w:p>
        <w:p w:rsidR="00DF5D0E" w:rsidRDefault="0064264E" w:rsidP="00846034">
          <w:pPr>
            <w:spacing w:line="408" w:lineRule="exact"/>
            <w:jc w:val="right"/>
            <w:rPr>
              <w:b/>
              <w:bCs/>
            </w:rPr>
          </w:pPr>
          <w:customXml w:element="FloorAction">
            <w:r>
              <w:t xml:space="preserve">NOT ADOPTED 4/25/2009</w:t>
            </w:r>
          </w:customXml>
        </w:p>
      </w:customXml>
      <w:permStart w:id="0" w:edGrp="everyone" w:displacedByCustomXml="next"/>
      <w:customXml w:element="Page">
        <w:p w:rsidR="00D5339C" w:rsidRDefault="0064264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5339C">
            <w:t xml:space="preserve">On page </w:t>
          </w:r>
          <w:r w:rsidR="00B80BEA">
            <w:t>1, beginning on line 7, strike all of section 1 and insert the following:</w:t>
          </w:r>
        </w:p>
        <w:p w:rsidR="00B80BEA" w:rsidRDefault="00B80BEA" w:rsidP="00B80BEA">
          <w:pPr>
            <w:pStyle w:val="RCWSLText"/>
          </w:pPr>
        </w:p>
        <w:p w:rsidR="00B80BEA" w:rsidRDefault="00B80BEA" w:rsidP="00BF6AA5">
          <w:pPr>
            <w:pStyle w:val="RCWSLText"/>
          </w:pPr>
          <w:r>
            <w:tab/>
            <w:t>"</w:t>
          </w:r>
          <w:r>
            <w:rPr>
              <w:b/>
            </w:rPr>
            <w:t xml:space="preserve">Sec. </w:t>
          </w:r>
          <w:r w:rsidR="0064264E">
            <w:rPr>
              <w:b/>
            </w:rPr>
            <w:fldChar w:fldCharType="begin"/>
          </w:r>
          <w:r>
            <w:rPr>
              <w:b/>
            </w:rPr>
            <w:instrText xml:space="preserve"> LISTNUM  LegalDefault  </w:instrText>
          </w:r>
          <w:r w:rsidR="0064264E">
            <w:rPr>
              <w:b/>
            </w:rPr>
            <w:fldChar w:fldCharType="end"/>
          </w:r>
          <w:r>
            <w:rPr>
              <w:b/>
            </w:rPr>
            <w:t xml:space="preserve">  </w:t>
          </w:r>
          <w:r>
            <w:t>RCW 41.45.010 and 2005 c 370 s 4 are each amended to read as follows:</w:t>
          </w:r>
        </w:p>
        <w:p w:rsidR="00B80BEA" w:rsidRDefault="00B80BEA" w:rsidP="00B80BEA">
          <w:pPr>
            <w:pStyle w:val="RCWSLText"/>
          </w:pPr>
          <w:r>
            <w:tab/>
            <w:t>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rsidR="00B80BEA" w:rsidRDefault="00B80BEA" w:rsidP="00B80BEA">
          <w:pPr>
            <w:pStyle w:val="RCWSLText"/>
          </w:pPr>
          <w:r>
            <w:tab/>
            <w:t>((</w:t>
          </w:r>
          <w:r w:rsidRPr="00B80BEA">
            <w:rPr>
              <w:strike/>
            </w:rPr>
            <w:t>The legislature finds that the funding status of the state retirement systems has improved dramatically since 1989.  Because of the big reduction in unfunded pension liabilities, it is now prudent to adjust the long-term economic assumptions that are used in the actuarial studies conducted by the state actuary.  The legislature finds that it is reasonable to increase the salary growth assumption in light of Initiative Measure No. 732, to increase the investment return assumption in light of the asset allocation policies and historical returns of the state investment board, and to reestablish June 30, 2024, as the target date to achieve full funding of all liabilities in the public employees' retirement system plan 1, the teachers' retirement system plan 1, and the law enforcement officers' and firefighters' retirement system plan 1.</w:t>
          </w:r>
          <w:r>
            <w:t>))</w:t>
          </w:r>
        </w:p>
        <w:p w:rsidR="00B80BEA" w:rsidRDefault="00B80BEA" w:rsidP="00B80BEA">
          <w:pPr>
            <w:pStyle w:val="RCWSLText"/>
          </w:pPr>
          <w:r>
            <w:lastRenderedPageBreak/>
            <w:tab/>
            <w:t>The funding process established by this chapter is intended to achieve the following goals:</w:t>
          </w:r>
        </w:p>
        <w:p w:rsidR="00B80BEA" w:rsidRDefault="00B80BEA" w:rsidP="00B80BEA">
          <w:pPr>
            <w:pStyle w:val="RCWSLText"/>
          </w:pPr>
          <w:r>
            <w:tab/>
            <w:t>(1)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rsidR="00B80BEA" w:rsidRDefault="00B80BEA" w:rsidP="00B80BEA">
          <w:pPr>
            <w:pStyle w:val="RCWSLText"/>
          </w:pPr>
          <w:r>
            <w:tab/>
            <w:t>(2) To fully amortize the total costs of the public employees' retirement system plan 1, the teachers' retirement system plan 1, and the law enforcement officers' and firefighters' retirement system plan 1, not later than June 30, ((</w:t>
          </w:r>
          <w:r w:rsidRPr="00FB17F1">
            <w:rPr>
              <w:strike/>
            </w:rPr>
            <w:t>2024</w:t>
          </w:r>
          <w:r>
            <w:t>))</w:t>
          </w:r>
          <w:r>
            <w:rPr>
              <w:u w:val="single"/>
            </w:rPr>
            <w:t>2020</w:t>
          </w:r>
          <w:r>
            <w:t>;</w:t>
          </w:r>
        </w:p>
        <w:p w:rsidR="00B80BEA" w:rsidRDefault="00B80BEA" w:rsidP="00B80BEA">
          <w:pPr>
            <w:pStyle w:val="RCWSLText"/>
          </w:pPr>
          <w:r>
            <w:tab/>
            <w:t>(3) To establish long-term employer contribution rates which will remain a relatively predictable proportion of the future state budgets; and</w:t>
          </w:r>
        </w:p>
        <w:p w:rsidR="00B80BEA" w:rsidRDefault="00B80BEA" w:rsidP="00B80BEA">
          <w:pPr>
            <w:pStyle w:val="RCWSLText"/>
          </w:pPr>
          <w:r>
            <w:tab/>
            <w:t>(4) To fund, to the extent feasible, benefit increases for plan 1 members and all benefits for plan 2 and 3 members over the working lives of those members so that the cost of those benefits are paid by the taxpayers who receive the benefit of those members' service."</w:t>
          </w:r>
        </w:p>
        <w:p w:rsidR="00B80BEA" w:rsidRPr="00B80BEA" w:rsidRDefault="00B80BEA" w:rsidP="00B80BEA">
          <w:pPr>
            <w:pStyle w:val="RCWSLText"/>
          </w:pPr>
          <w:bookmarkStart w:id="1" w:name="History"/>
          <w:bookmarkEnd w:id="1"/>
        </w:p>
        <w:p w:rsidR="00FB17F1" w:rsidRDefault="00FB17F1" w:rsidP="00D5339C">
          <w:pPr>
            <w:pStyle w:val="RCWSLText"/>
            <w:suppressLineNumbers/>
          </w:pPr>
          <w:r>
            <w:tab/>
            <w:t>On page 4, beginning on line 5, strike all of section</w:t>
          </w:r>
          <w:r w:rsidR="007237B4">
            <w:t>s</w:t>
          </w:r>
          <w:r>
            <w:t xml:space="preserve"> 3</w:t>
          </w:r>
          <w:r w:rsidR="007237B4">
            <w:t xml:space="preserve"> through 8</w:t>
          </w:r>
        </w:p>
        <w:p w:rsidR="00FB17F1" w:rsidRDefault="00FB17F1" w:rsidP="00D5339C">
          <w:pPr>
            <w:pStyle w:val="RCWSLText"/>
            <w:suppressLineNumbers/>
          </w:pPr>
        </w:p>
        <w:p w:rsidR="00FB17F1" w:rsidRDefault="00FB17F1" w:rsidP="00D5339C">
          <w:pPr>
            <w:pStyle w:val="RCWSLText"/>
            <w:suppressLineNumbers/>
          </w:pPr>
          <w:r>
            <w:tab/>
            <w:t>Renumber the remaining sections consecutively and correct the title.</w:t>
          </w:r>
        </w:p>
        <w:p w:rsidR="00FB17F1" w:rsidRDefault="00FB17F1" w:rsidP="00D5339C">
          <w:pPr>
            <w:pStyle w:val="RCWSLText"/>
            <w:suppressLineNumbers/>
          </w:pPr>
        </w:p>
        <w:p w:rsidR="00DF5D0E" w:rsidRPr="00523C5A" w:rsidRDefault="00FB17F1" w:rsidP="00D5339C">
          <w:pPr>
            <w:pStyle w:val="RCWSLText"/>
            <w:suppressLineNumbers/>
          </w:pPr>
          <w:r>
            <w:tab/>
          </w:r>
        </w:p>
      </w:customXml>
      <w:customXml w:element="Effect">
        <w:p w:rsidR="00ED2EEB" w:rsidRDefault="00DE256E" w:rsidP="00D5339C">
          <w:pPr>
            <w:pStyle w:val="Effect"/>
            <w:suppressLineNumbers/>
          </w:pPr>
          <w:r>
            <w:tab/>
          </w:r>
        </w:p>
        <w:p w:rsidR="00DF5D0E" w:rsidRPr="00D5339C" w:rsidRDefault="00ED2EEB" w:rsidP="00BF6AA5">
          <w:pPr>
            <w:pStyle w:val="Effect"/>
            <w:suppressLineNumbers/>
          </w:pPr>
          <w:r>
            <w:tab/>
          </w:r>
          <w:r w:rsidR="00DE256E">
            <w:tab/>
          </w:r>
          <w:r w:rsidR="00DE256E" w:rsidRPr="00D5339C">
            <w:rPr>
              <w:b/>
              <w:u w:val="single"/>
            </w:rPr>
            <w:t>EFFECT:</w:t>
          </w:r>
          <w:r w:rsidR="00DE256E">
            <w:t>   </w:t>
          </w:r>
          <w:r w:rsidR="007237B4">
            <w:t>Removes provisions relating to changes in long-term economic and demographic assumptions and changes to the method of amortizing the unfunded actuarial accrued liability</w:t>
          </w:r>
          <w:r w:rsidR="00992855">
            <w:t xml:space="preserve"> (UAAL)</w:t>
          </w:r>
          <w:r w:rsidR="007237B4">
            <w:t xml:space="preserve"> in the Public Employees' Retirement System and the Teachers' Retirement System, and changes the date by which the </w:t>
          </w:r>
          <w:r w:rsidR="00992855">
            <w:t>UAAL shall be fully amortized from June 30, 2024, to June 30, 2020.</w:t>
          </w:r>
        </w:p>
      </w:customXml>
      <w:permEnd w:id="0"/>
      <w:p w:rsidR="00DF5D0E" w:rsidRDefault="00DF5D0E" w:rsidP="00D5339C">
        <w:pPr>
          <w:pStyle w:val="AmendSectionPostSpace"/>
          <w:suppressLineNumbers/>
        </w:pPr>
      </w:p>
      <w:p w:rsidR="00DF5D0E" w:rsidRDefault="00DF5D0E" w:rsidP="00D5339C">
        <w:pPr>
          <w:pStyle w:val="BillEnd"/>
          <w:suppressLineNumbers/>
        </w:pPr>
      </w:p>
      <w:p w:rsidR="00DF5D0E" w:rsidRDefault="00DE256E" w:rsidP="00D5339C">
        <w:pPr>
          <w:pStyle w:val="BillEnd"/>
          <w:suppressLineNumbers/>
        </w:pPr>
        <w:r>
          <w:rPr>
            <w:b/>
          </w:rPr>
          <w:t>--- END ---</w:t>
        </w:r>
      </w:p>
      <w:p w:rsidR="00DF5D0E" w:rsidRDefault="0064264E" w:rsidP="00D5339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F4" w:rsidRDefault="004435F4" w:rsidP="00DF5D0E">
      <w:r>
        <w:separator/>
      </w:r>
    </w:p>
  </w:endnote>
  <w:endnote w:type="continuationSeparator" w:id="1">
    <w:p w:rsidR="004435F4" w:rsidRDefault="004435F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4264E">
    <w:pPr>
      <w:pStyle w:val="AmendDraftFooter"/>
    </w:pPr>
    <w:fldSimple w:instr=" TITLE   \* MERGEFORMAT ">
      <w:r w:rsidR="000673E7">
        <w:t>6161-S AMH ANDG PRIN 173</w:t>
      </w:r>
    </w:fldSimple>
    <w:r w:rsidR="00DE256E">
      <w:tab/>
    </w:r>
    <w:r>
      <w:fldChar w:fldCharType="begin"/>
    </w:r>
    <w:r w:rsidR="00DE256E">
      <w:instrText xml:space="preserve"> PAGE  \* Arabic  \* MERGEFORMAT </w:instrText>
    </w:r>
    <w:r>
      <w:fldChar w:fldCharType="separate"/>
    </w:r>
    <w:r w:rsidR="000673E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4264E">
    <w:pPr>
      <w:pStyle w:val="AmendDraftFooter"/>
    </w:pPr>
    <w:fldSimple w:instr=" TITLE   \* MERGEFORMAT ">
      <w:r w:rsidR="000673E7">
        <w:t>6161-S AMH ANDG PRIN 173</w:t>
      </w:r>
    </w:fldSimple>
    <w:r w:rsidR="00DE256E">
      <w:tab/>
    </w:r>
    <w:r>
      <w:fldChar w:fldCharType="begin"/>
    </w:r>
    <w:r w:rsidR="00DE256E">
      <w:instrText xml:space="preserve"> PAGE  \* Arabic  \* MERGEFORMAT </w:instrText>
    </w:r>
    <w:r>
      <w:fldChar w:fldCharType="separate"/>
    </w:r>
    <w:r w:rsidR="000673E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F4" w:rsidRDefault="004435F4" w:rsidP="00DF5D0E">
      <w:r>
        <w:separator/>
      </w:r>
    </w:p>
  </w:footnote>
  <w:footnote w:type="continuationSeparator" w:id="1">
    <w:p w:rsidR="004435F4" w:rsidRDefault="004435F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4264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4264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73E7"/>
    <w:rsid w:val="00096165"/>
    <w:rsid w:val="000C6C82"/>
    <w:rsid w:val="000E603A"/>
    <w:rsid w:val="00106544"/>
    <w:rsid w:val="001A775A"/>
    <w:rsid w:val="001E6675"/>
    <w:rsid w:val="00217E8A"/>
    <w:rsid w:val="00281CBD"/>
    <w:rsid w:val="00316CD9"/>
    <w:rsid w:val="003E2FC6"/>
    <w:rsid w:val="004435F4"/>
    <w:rsid w:val="00492DDC"/>
    <w:rsid w:val="00523C5A"/>
    <w:rsid w:val="00605C39"/>
    <w:rsid w:val="0064264E"/>
    <w:rsid w:val="006841E6"/>
    <w:rsid w:val="006F7027"/>
    <w:rsid w:val="00702ECB"/>
    <w:rsid w:val="0072335D"/>
    <w:rsid w:val="007237B4"/>
    <w:rsid w:val="0072541D"/>
    <w:rsid w:val="007D35D4"/>
    <w:rsid w:val="00846034"/>
    <w:rsid w:val="00931B84"/>
    <w:rsid w:val="00972869"/>
    <w:rsid w:val="00992855"/>
    <w:rsid w:val="009F23A9"/>
    <w:rsid w:val="00A01F29"/>
    <w:rsid w:val="00A93D4A"/>
    <w:rsid w:val="00AD2D0A"/>
    <w:rsid w:val="00B31D1C"/>
    <w:rsid w:val="00B518D0"/>
    <w:rsid w:val="00B73E0A"/>
    <w:rsid w:val="00B80BEA"/>
    <w:rsid w:val="00B961E0"/>
    <w:rsid w:val="00BF6AA5"/>
    <w:rsid w:val="00D40447"/>
    <w:rsid w:val="00D5339C"/>
    <w:rsid w:val="00DA47F3"/>
    <w:rsid w:val="00DE256E"/>
    <w:rsid w:val="00DF5D0E"/>
    <w:rsid w:val="00E1471A"/>
    <w:rsid w:val="00E41CC6"/>
    <w:rsid w:val="00E66F5D"/>
    <w:rsid w:val="00ED2EEB"/>
    <w:rsid w:val="00F229DE"/>
    <w:rsid w:val="00F4663F"/>
    <w:rsid w:val="00FB17F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37</TotalTime>
  <Pages>2</Pages>
  <Words>654</Words>
  <Characters>2682</Characters>
  <Application>Microsoft Office Word</Application>
  <DocSecurity>8</DocSecurity>
  <Lines>447</Lines>
  <Paragraphs>238</Paragraphs>
  <ScaleCrop>false</ScaleCrop>
  <HeadingPairs>
    <vt:vector size="2" baseType="variant">
      <vt:variant>
        <vt:lpstr>Title</vt:lpstr>
      </vt:variant>
      <vt:variant>
        <vt:i4>1</vt:i4>
      </vt:variant>
    </vt:vector>
  </HeadingPairs>
  <TitlesOfParts>
    <vt:vector size="1" baseType="lpstr">
      <vt:lpstr>6161-S AMH ANDG PRIN 173</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6161-S AMH ANDG PRIN 173</dc:title>
  <dc:subject/>
  <dc:creator>DP</dc:creator>
  <cp:keywords/>
  <dc:description/>
  <cp:lastModifiedBy>DP</cp:lastModifiedBy>
  <cp:revision>6</cp:revision>
  <cp:lastPrinted>2009-04-21T00:44:00Z</cp:lastPrinted>
  <dcterms:created xsi:type="dcterms:W3CDTF">2009-04-20T23:12:00Z</dcterms:created>
  <dcterms:modified xsi:type="dcterms:W3CDTF">2009-04-21T00:44:00Z</dcterms:modified>
</cp:coreProperties>
</file>