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A7B30" w:rsidP="0072541D">
          <w:pPr>
            <w:pStyle w:val="AmendDocName"/>
          </w:pPr>
          <w:customXml w:element="BillDocName">
            <w:r>
              <w:t xml:space="preserve">5285-S</w:t>
            </w:r>
          </w:customXml>
          <w:customXml w:element="AmendType">
            <w:r>
              <w:t xml:space="preserve"> AMH</w:t>
            </w:r>
          </w:customXml>
          <w:customXml w:element="SponsorAcronym">
            <w:r>
              <w:t xml:space="preserve"> JUDI</w:t>
            </w:r>
          </w:customXml>
          <w:customXml w:element="DrafterAcronym">
            <w:r>
              <w:t xml:space="preserve"> TANG</w:t>
            </w:r>
          </w:customXml>
          <w:customXml w:element="DraftNumber">
            <w:r>
              <w:t xml:space="preserve"> 052</w:t>
            </w:r>
          </w:customXml>
        </w:p>
      </w:customXml>
      <w:customXml w:element="OfferedBy">
        <w:p w:rsidR="00DF5D0E" w:rsidRDefault="00DE256E" w:rsidP="00B73E0A">
          <w:pPr>
            <w:pStyle w:val="OfferedBy"/>
            <w:spacing w:after="120"/>
          </w:pPr>
          <w:r>
            <w:tab/>
          </w:r>
          <w:r>
            <w:tab/>
          </w:r>
          <w:r>
            <w:tab/>
          </w:r>
        </w:p>
        <w:permStart w:id="0" w:edGrp="everyone" w:displacedByCustomXml="next"/>
        <w:permEnd w:id="0" w:displacedByCustomXml="next"/>
      </w:customXml>
      <w:customXml w:element="Heading">
        <w:p w:rsidR="00DF5D0E" w:rsidRDefault="00BA7B30">
          <w:customXml w:element="ReferenceNumber">
            <w:r w:rsidR="00275996">
              <w:rPr>
                <w:b/>
                <w:u w:val="single"/>
              </w:rPr>
              <w:t>SSB 5285</w:t>
            </w:r>
            <w:r w:rsidR="00DE256E">
              <w:t xml:space="preserve"> - </w:t>
            </w:r>
          </w:customXml>
          <w:customXml w:element="Floor">
            <w:r w:rsidR="00275996">
              <w:t>H COMM AMD</w:t>
            </w:r>
          </w:customXml>
          <w:customXml w:element="AmendNumber">
            <w:r w:rsidR="00DE256E">
              <w:t xml:space="preserve"> </w:t>
            </w:r>
          </w:customXml>
        </w:p>
        <w:p w:rsidR="00DF5D0E" w:rsidRDefault="00BA7B30" w:rsidP="00605C39">
          <w:pPr>
            <w:ind w:firstLine="576"/>
          </w:pPr>
          <w:customXml w:element="Sponsors">
            <w:r>
              <w:t xml:space="preserve">By Committee on Judiciary</w:t>
            </w:r>
          </w:customXml>
        </w:p>
        <w:p w:rsidR="00DF5D0E" w:rsidRDefault="00BA7B30" w:rsidP="00846034">
          <w:pPr>
            <w:spacing w:line="408" w:lineRule="exact"/>
            <w:jc w:val="right"/>
            <w:rPr>
              <w:b/>
              <w:bCs/>
            </w:rPr>
          </w:pPr>
          <w:customXml w:element="FloorAction">
            <w:r>
              <w:t xml:space="preserve">ADOPTED 4/14/2009</w:t>
            </w:r>
          </w:customXml>
        </w:p>
      </w:customXml>
      <w:permStart w:id="1" w:edGrp="everyone" w:displacedByCustomXml="next"/>
      <w:customXml w:element="Page">
        <w:p w:rsidR="00275996" w:rsidRDefault="00BA7B30"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03558">
            <w:t>Strike everything after the enacting clause and insert the following:</w:t>
          </w:r>
        </w:p>
        <w:p w:rsidR="00003558" w:rsidRDefault="00003558" w:rsidP="00003558">
          <w:pPr>
            <w:pStyle w:val="BegSec-Amd"/>
          </w:pPr>
          <w:r>
            <w:t>"</w:t>
          </w:r>
          <w:r>
            <w:rPr>
              <w:b/>
            </w:rPr>
            <w:t xml:space="preserve">Sec. </w:t>
          </w:r>
          <w:r w:rsidR="00BA7B30">
            <w:rPr>
              <w:b/>
            </w:rPr>
            <w:fldChar w:fldCharType="begin"/>
          </w:r>
          <w:r>
            <w:rPr>
              <w:b/>
            </w:rPr>
            <w:instrText xml:space="preserve"> LISTNUM  LegalDefault  </w:instrText>
          </w:r>
          <w:r w:rsidR="00BA7B30">
            <w:rPr>
              <w:b/>
            </w:rPr>
            <w:fldChar w:fldCharType="end"/>
          </w:r>
          <w:r>
            <w:rPr>
              <w:b/>
            </w:rPr>
            <w:t xml:space="preserve">  </w:t>
          </w:r>
          <w:r>
            <w:t>RCW 26.44.030 and 2008 c 211 s 5 are each amended to read as follows:</w:t>
          </w:r>
        </w:p>
        <w:p w:rsidR="00003558" w:rsidRDefault="00003558" w:rsidP="00003558">
          <w:pPr>
            <w:pStyle w:val="RCWSLText"/>
          </w:pPr>
          <w:r>
            <w:tab/>
            <w:t>(1)(a)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ombudsman or any volunteer in the ombudsman's office has reasonable cause to believe that a child has suffered abuse or neglect, he or she shall report such incident, or cause a report to be made, to the proper law enforcement agency or to the department as provided in RCW 26.44.040.</w:t>
          </w:r>
        </w:p>
        <w:p w:rsidR="00003558" w:rsidRDefault="00003558" w:rsidP="00003558">
          <w:pPr>
            <w:pStyle w:val="RCWSLText"/>
          </w:pPr>
          <w:r>
            <w:tab/>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w:t>
          </w:r>
          <w:r>
            <w:lastRenderedPageBreak/>
            <w:t>service.  No one shall be required to report under this section when he or she obtains the information solely as a result of a privileged communication as provided in RCW 5.60.060.</w:t>
          </w:r>
        </w:p>
        <w:p w:rsidR="00003558" w:rsidRDefault="00003558" w:rsidP="00003558">
          <w:pPr>
            <w:pStyle w:val="RCWSLText"/>
          </w:pPr>
          <w:r>
            <w:tab/>
            <w:t>Nothing in this subsection (1)(b) shall limit a person's duty to report under (a) of this subsection.</w:t>
          </w:r>
        </w:p>
        <w:p w:rsidR="00003558" w:rsidRDefault="00003558" w:rsidP="00003558">
          <w:pPr>
            <w:pStyle w:val="RCWSLText"/>
          </w:pPr>
          <w:r>
            <w:tab/>
            <w:t>For the purposes of this subsection, the following definitions apply:</w:t>
          </w:r>
        </w:p>
        <w:p w:rsidR="00003558" w:rsidRDefault="00003558" w:rsidP="00003558">
          <w:pPr>
            <w:pStyle w:val="RCWSLText"/>
          </w:pPr>
          <w:r>
            <w:tab/>
            <w:t>(i)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rsidR="00003558" w:rsidRDefault="00003558" w:rsidP="00003558">
          <w:pPr>
            <w:pStyle w:val="RCWSLText"/>
          </w:pPr>
          <w:r>
            <w:tab/>
            <w:t>(ii) "Regularly exercises supervisory authority" means to act in his or her official supervisory capacity on an ongoing or continuing basis with regards to a particular person.</w:t>
          </w:r>
        </w:p>
        <w:p w:rsidR="00003558" w:rsidRDefault="00003558" w:rsidP="00003558">
          <w:pPr>
            <w:pStyle w:val="RCWSLText"/>
          </w:pPr>
          <w:r>
            <w:tab/>
            <w:t>(c)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rsidR="00003558" w:rsidRDefault="00003558" w:rsidP="00003558">
          <w:pPr>
            <w:pStyle w:val="RCWSLText"/>
          </w:pPr>
          <w:r>
            <w:tab/>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w:t>
          </w:r>
          <w:r>
            <w:lastRenderedPageBreak/>
            <w:t>bruising, significant external or internal swelling, bone fracture, or unconsciousness.</w:t>
          </w:r>
        </w:p>
        <w:p w:rsidR="00003558" w:rsidRDefault="00003558" w:rsidP="00003558">
          <w:pPr>
            <w:pStyle w:val="RCWSLText"/>
          </w:pPr>
          <w:r>
            <w:tab/>
            <w:t xml:space="preserve">(e) </w:t>
          </w:r>
          <w:r>
            <w:rPr>
              <w:u w:val="single"/>
            </w:rPr>
            <w:t>The reporting requirement also applies to guardians ad litem, including court appointed special advocates, appointed under Titles 11, 13, and 26 RCW, who in the course of their representation of children in these actions have reasonable cause to believe a child has been abused or neglected.</w:t>
          </w:r>
          <w:r>
            <w:br/>
          </w:r>
          <w:r w:rsidRPr="00003558">
            <w:tab/>
          </w:r>
          <w:r>
            <w:rPr>
              <w:u w:val="single"/>
            </w:rPr>
            <w:t>(f)</w:t>
          </w:r>
          <w:r>
            <w:t xml:space="preserve"> The report must be made at the first opportunity, but in no case longer than forty-eight hours after there is reasonable cause to believe that the child has suffered abuse or neglect.  The report must include the identity of the accused if known.</w:t>
          </w:r>
        </w:p>
        <w:p w:rsidR="00003558" w:rsidRDefault="00003558" w:rsidP="00003558">
          <w:pPr>
            <w:pStyle w:val="RCWSLText"/>
          </w:pPr>
          <w:r>
            <w:tab/>
            <w:t>(2)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rsidR="00003558" w:rsidRDefault="00003558" w:rsidP="00003558">
          <w:pPr>
            <w:pStyle w:val="RCWSLText"/>
          </w:pPr>
          <w:r>
            <w:tab/>
            <w:t>(3) Any other person who has reasonable cause to believe that a child has suffered abuse or neglect may report such incident to the proper law enforcement agency or to the department of social and health services as provided in RCW 26.44.040.</w:t>
          </w:r>
        </w:p>
        <w:p w:rsidR="00003558" w:rsidRDefault="00003558" w:rsidP="00003558">
          <w:pPr>
            <w:pStyle w:val="RCWSLText"/>
          </w:pPr>
          <w:r>
            <w:tab/>
            <w:t>(4)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rsidR="00003558" w:rsidRDefault="00003558" w:rsidP="00003558">
          <w:pPr>
            <w:pStyle w:val="RCWSLText"/>
          </w:pPr>
          <w:r>
            <w:t xml:space="preserve"> </w:t>
          </w:r>
          <w:r>
            <w:tab/>
            <w:t>(5)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rsidR="00003558" w:rsidRDefault="00003558" w:rsidP="00003558">
          <w:pPr>
            <w:pStyle w:val="RCWSLText"/>
          </w:pPr>
          <w:r>
            <w:tab/>
            <w:t>(6)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rsidR="00003558" w:rsidRDefault="00003558" w:rsidP="00003558">
          <w:pPr>
            <w:pStyle w:val="RCWSLText"/>
          </w:pPr>
          <w:r>
            <w:tab/>
            <w:t>(7)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rsidR="00003558" w:rsidRDefault="00003558" w:rsidP="00003558">
          <w:pPr>
            <w:pStyle w:val="RCWSLText"/>
          </w:pPr>
          <w:r>
            <w:tab/>
            <w:t>(8)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rsidR="00003558" w:rsidRDefault="00003558" w:rsidP="00003558">
          <w:pPr>
            <w:pStyle w:val="RCWSLText"/>
          </w:pPr>
          <w:r>
            <w:tab/>
            <w:t>(9) Persons or agencies exchanging information under subsection (7) of this section shall not further disseminate or release the information except as authorized by state or federal statute.  Violation of this subsection is a misdemeanor.</w:t>
          </w:r>
        </w:p>
        <w:p w:rsidR="00003558" w:rsidRDefault="00003558" w:rsidP="00003558">
          <w:pPr>
            <w:pStyle w:val="RCWSLText"/>
          </w:pPr>
          <w:r>
            <w:tab/>
            <w:t>(10)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rsidR="00003558" w:rsidRDefault="00003558" w:rsidP="00003558">
          <w:pPr>
            <w:pStyle w:val="RCWSLText"/>
          </w:pPr>
          <w:r>
            <w:tab/>
            <w:t>(a) The department believes there is a serious threat of substantial harm to the child;</w:t>
          </w:r>
        </w:p>
        <w:p w:rsidR="00003558" w:rsidRDefault="00003558" w:rsidP="00003558">
          <w:pPr>
            <w:pStyle w:val="RCWSLText"/>
          </w:pPr>
          <w:r>
            <w:tab/>
            <w:t>(b) The report indicates conduct involving a criminal offense that has, or is about to occur, in which the child is the victim; or</w:t>
          </w:r>
        </w:p>
        <w:p w:rsidR="00003558" w:rsidRDefault="00003558" w:rsidP="00003558">
          <w:pPr>
            <w:pStyle w:val="RCWSLText"/>
          </w:pPr>
          <w:r>
            <w:tab/>
            <w:t>(c) The department has a prior founded report of abuse or neglect with regard to a member of the household that is within three years of receipt of the referral.</w:t>
          </w:r>
        </w:p>
        <w:p w:rsidR="00003558" w:rsidRDefault="00003558" w:rsidP="00003558">
          <w:pPr>
            <w:pStyle w:val="RCWSLText"/>
          </w:pPr>
          <w:r>
            <w:tab/>
            <w:t>(11)(a)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rsidR="00003558" w:rsidRDefault="00003558" w:rsidP="00003558">
          <w:pPr>
            <w:pStyle w:val="RCWSLText"/>
          </w:pPr>
          <w:r>
            <w:tab/>
            <w:t>(b)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rsidR="00003558" w:rsidRDefault="00003558" w:rsidP="00003558">
          <w:pPr>
            <w:pStyle w:val="RCWSLText"/>
          </w:pPr>
          <w:r>
            <w:tab/>
            <w:t>(12) In conducting an investigation of alleged abuse or neglect, the department or law enforcement agency:</w:t>
          </w:r>
        </w:p>
        <w:p w:rsidR="00003558" w:rsidRDefault="00003558" w:rsidP="00003558">
          <w:pPr>
            <w:pStyle w:val="RCWSLText"/>
          </w:pPr>
          <w:r>
            <w:tab/>
            <w:t>(a) May interview children.  The interviews may be conducted on school premises, at day-care facilities, at the child's home, or at other suitable locations outside of the presence of parents.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rsidR="00003558" w:rsidRDefault="00003558" w:rsidP="00003558">
          <w:pPr>
            <w:pStyle w:val="RCWSLText"/>
          </w:pPr>
          <w:r>
            <w:tab/>
            <w:t>(b) Shall have access to all relevant records of the child in the possession of mandated reporters and their employees.</w:t>
          </w:r>
        </w:p>
        <w:p w:rsidR="00003558" w:rsidRDefault="00003558" w:rsidP="00003558">
          <w:pPr>
            <w:pStyle w:val="RCWSLText"/>
          </w:pPr>
          <w:r>
            <w:tab/>
            <w:t>(13) If a report of alleged abuse or neglect is founded and constitutes the third founded report received by the department within the last twelve months involving the same child or family, the department shall promptly notify the office of the family and children's ombudsman of the contents of the report.  The department shall also notify the ombudsman of the disposition of the report.</w:t>
          </w:r>
        </w:p>
        <w:p w:rsidR="00003558" w:rsidRDefault="00003558" w:rsidP="00003558">
          <w:pPr>
            <w:pStyle w:val="RCWSLText"/>
          </w:pPr>
          <w:r>
            <w:tab/>
            <w:t>(14) In investigating and responding to allegations of child abuse and neglect, the department may conduct background checks as authorized by state and federal law.</w:t>
          </w:r>
        </w:p>
        <w:p w:rsidR="00003558" w:rsidRDefault="00003558" w:rsidP="00003558">
          <w:pPr>
            <w:pStyle w:val="RCWSLText"/>
          </w:pPr>
          <w:r>
            <w:tab/>
            <w:t>(15) The department shall maintain investigation records and conduct timely and periodic reviews of all founded cases of abuse and neglect.  The department shall maintain a log of screened-out nonabusive cases.</w:t>
          </w:r>
        </w:p>
        <w:p w:rsidR="00003558" w:rsidRDefault="00003558" w:rsidP="00003558">
          <w:pPr>
            <w:pStyle w:val="RCWSLText"/>
          </w:pPr>
          <w:r>
            <w:tab/>
            <w:t>(16) The department shall use a risk assessment process when investigating alleged child abuse and neglect referrals.  The department shall present the risk factors at all hearings in which the placement of a dependent child is an issue.  Substance abuse must be a risk factor.  The department shall, within funds appropriated for this purpose, offer enhanced community-based services to persons who are determined not to require further state intervention.</w:t>
          </w:r>
        </w:p>
        <w:p w:rsidR="00003558" w:rsidRDefault="00003558" w:rsidP="00003558">
          <w:pPr>
            <w:pStyle w:val="RCWSLText"/>
          </w:pPr>
          <w:r>
            <w:tab/>
            <w:t>(17) Upon receipt of a report of alleged abuse or neglect the law enforcement agency may arrange to interview the person making the report and any collateral sources to determine if any malice is involved in the reporting.</w:t>
          </w:r>
        </w:p>
        <w:p w:rsidR="00003558" w:rsidRDefault="00003558" w:rsidP="00003558">
          <w:pPr>
            <w:pStyle w:val="RCWSLText"/>
          </w:pPr>
          <w:r>
            <w:tab/>
            <w:t>(18)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rsidR="00003558" w:rsidRDefault="00003558" w:rsidP="00003558">
          <w:pPr>
            <w:pStyle w:val="BegSec-Amd"/>
          </w:pPr>
          <w:r>
            <w:rPr>
              <w:b/>
            </w:rPr>
            <w:t xml:space="preserve">Sec. </w:t>
          </w:r>
          <w:r w:rsidR="00BA7B30">
            <w:rPr>
              <w:b/>
            </w:rPr>
            <w:fldChar w:fldCharType="begin"/>
          </w:r>
          <w:r>
            <w:rPr>
              <w:b/>
            </w:rPr>
            <w:instrText xml:space="preserve"> LISTNUM  LegalDefault  </w:instrText>
          </w:r>
          <w:r w:rsidR="00BA7B30">
            <w:rPr>
              <w:b/>
            </w:rPr>
            <w:fldChar w:fldCharType="end"/>
          </w:r>
          <w:r>
            <w:rPr>
              <w:b/>
            </w:rPr>
            <w:t xml:space="preserve">  </w:t>
          </w:r>
          <w:r>
            <w:t>RCW 13.34.100 and 2000 c 124 s 2 are each amended to read as follows:</w:t>
          </w:r>
        </w:p>
        <w:p w:rsidR="00003558" w:rsidRDefault="00003558" w:rsidP="00003558">
          <w:pPr>
            <w:pStyle w:val="RCWSLText"/>
          </w:pPr>
          <w:r>
            <w:tab/>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independent counsel in the proceedings.  </w:t>
          </w:r>
          <w:r>
            <w:rPr>
              <w:u w:val="single"/>
            </w:rPr>
            <w:t>The court shall attempt to match a child with special needs with a guardian ad litem who has specific training or education related to the child's individual needs.</w:t>
          </w:r>
        </w:p>
        <w:p w:rsidR="00003558" w:rsidRDefault="00003558" w:rsidP="00003558">
          <w:pPr>
            <w:pStyle w:val="RCWSLText"/>
          </w:pPr>
          <w:r>
            <w:tab/>
            <w:t>(2)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rsidR="00003558" w:rsidRDefault="00003558" w:rsidP="00003558">
          <w:pPr>
            <w:pStyle w:val="RCWSLText"/>
          </w:pPr>
          <w:r>
            <w:tab/>
            <w:t>(3) Each guardian ad litem program shall maintain a background information record for each guardian ad litem in the program.  The background ((</w:t>
          </w:r>
          <w:r>
            <w:rPr>
              <w:strike/>
            </w:rPr>
            <w:t>file</w:t>
          </w:r>
          <w:r>
            <w:t xml:space="preserve">)) </w:t>
          </w:r>
          <w:r>
            <w:rPr>
              <w:u w:val="single"/>
            </w:rPr>
            <w:t>information record</w:t>
          </w:r>
          <w:r>
            <w:t xml:space="preserve"> shall include, but is not limited to, the following information:</w:t>
          </w:r>
        </w:p>
        <w:p w:rsidR="00003558" w:rsidRDefault="00003558" w:rsidP="00003558">
          <w:pPr>
            <w:pStyle w:val="RCWSLText"/>
          </w:pPr>
          <w:r>
            <w:tab/>
            <w:t>(a) Level of formal education;</w:t>
          </w:r>
        </w:p>
        <w:p w:rsidR="00003558" w:rsidRDefault="00003558" w:rsidP="00003558">
          <w:pPr>
            <w:pStyle w:val="RCWSLText"/>
          </w:pPr>
          <w:r>
            <w:tab/>
            <w:t xml:space="preserve">(b) </w:t>
          </w:r>
          <w:r>
            <w:rPr>
              <w:u w:val="single"/>
            </w:rPr>
            <w:t>General t</w:t>
          </w:r>
          <w:r>
            <w:t>raining related to the guardian((</w:t>
          </w:r>
          <w:r>
            <w:rPr>
              <w:strike/>
            </w:rPr>
            <w:t>'s</w:t>
          </w:r>
          <w:r>
            <w:t xml:space="preserve">)) </w:t>
          </w:r>
          <w:r>
            <w:rPr>
              <w:u w:val="single"/>
            </w:rPr>
            <w:t>ad litem's</w:t>
          </w:r>
          <w:r>
            <w:t xml:space="preserve"> duties;</w:t>
          </w:r>
        </w:p>
        <w:p w:rsidR="00003558" w:rsidRDefault="00003558" w:rsidP="00003558">
          <w:pPr>
            <w:pStyle w:val="RCWSLText"/>
          </w:pPr>
          <w:r>
            <w:tab/>
            <w:t xml:space="preserve">(c) </w:t>
          </w:r>
          <w:r>
            <w:rPr>
              <w:u w:val="single"/>
            </w:rPr>
            <w:t>Specific training related to issues potentially faced by children in the dependency system;</w:t>
          </w:r>
          <w:r>
            <w:br/>
          </w:r>
          <w:r w:rsidRPr="00003558">
            <w:t xml:space="preserve"> </w:t>
          </w:r>
          <w:r w:rsidRPr="00003558">
            <w:tab/>
          </w:r>
          <w:r>
            <w:rPr>
              <w:u w:val="single"/>
            </w:rPr>
            <w:t>(d) Specific training or education related to child disability or developmental issues;</w:t>
          </w:r>
          <w:r>
            <w:br/>
          </w:r>
          <w:r w:rsidRPr="00003558">
            <w:tab/>
          </w:r>
          <w:r>
            <w:rPr>
              <w:u w:val="single"/>
            </w:rPr>
            <w:t>(e)</w:t>
          </w:r>
          <w:r>
            <w:t xml:space="preserve"> Number of years' experience as a guardian ad litem;</w:t>
          </w:r>
        </w:p>
        <w:p w:rsidR="00003558" w:rsidRDefault="00003558" w:rsidP="00003558">
          <w:pPr>
            <w:pStyle w:val="RCWSLText"/>
          </w:pPr>
          <w:r>
            <w:tab/>
            <w:t>((</w:t>
          </w:r>
          <w:r>
            <w:rPr>
              <w:strike/>
            </w:rPr>
            <w:t>(d)</w:t>
          </w:r>
          <w:r>
            <w:t xml:space="preserve">)) </w:t>
          </w:r>
          <w:r>
            <w:rPr>
              <w:u w:val="single"/>
            </w:rPr>
            <w:t>(f)</w:t>
          </w:r>
          <w:r>
            <w:t xml:space="preserve"> Number of appointments as a guardian ad litem and the county or counties of appointment;</w:t>
          </w:r>
        </w:p>
        <w:p w:rsidR="00003558" w:rsidRDefault="00003558" w:rsidP="00003558">
          <w:pPr>
            <w:pStyle w:val="RCWSLText"/>
          </w:pPr>
          <w:r>
            <w:tab/>
            <w:t>((</w:t>
          </w:r>
          <w:r>
            <w:rPr>
              <w:strike/>
            </w:rPr>
            <w:t>(e)</w:t>
          </w:r>
          <w:r>
            <w:t xml:space="preserve">)) </w:t>
          </w:r>
          <w:r>
            <w:rPr>
              <w:u w:val="single"/>
            </w:rPr>
            <w:t>(g)</w:t>
          </w:r>
          <w:r>
            <w:t xml:space="preserve"> The names of any counties in which the person was removed from a guardian ad litem registry pursuant to a grievance action, and the name of the court and the cause number of any case in which the court has removed the person for cause; ((</w:t>
          </w:r>
          <w:r>
            <w:rPr>
              <w:strike/>
            </w:rPr>
            <w:t>and</w:t>
          </w:r>
          <w:r>
            <w:br/>
          </w:r>
          <w:r>
            <w:rPr>
              <w:strike/>
            </w:rPr>
            <w:tab/>
            <w:t>(f)</w:t>
          </w:r>
          <w:r>
            <w:t xml:space="preserve">)) </w:t>
          </w:r>
          <w:r>
            <w:rPr>
              <w:u w:val="single"/>
            </w:rPr>
            <w:t>(h) Founded allegations of abuse or neglect as defined in RCW 26.44.020;</w:t>
          </w:r>
          <w:r>
            <w:br/>
          </w:r>
          <w:r w:rsidRPr="00003558">
            <w:tab/>
          </w:r>
          <w:r>
            <w:rPr>
              <w:u w:val="single"/>
            </w:rPr>
            <w:t xml:space="preserve">(i) </w:t>
          </w:r>
          <w:r w:rsidR="001A389C" w:rsidRPr="001A389C">
            <w:rPr>
              <w:u w:val="single"/>
            </w:rPr>
            <w:t>The</w:t>
          </w:r>
          <w:r w:rsidR="001A389C">
            <w:rPr>
              <w:u w:val="single"/>
            </w:rPr>
            <w:t xml:space="preserve"> results of an</w:t>
          </w:r>
          <w:r w:rsidR="001A389C" w:rsidRPr="001A389C">
            <w:rPr>
              <w:u w:val="single"/>
            </w:rPr>
            <w:t xml:space="preserve"> examination </w:t>
          </w:r>
          <w:r w:rsidR="001A389C">
            <w:rPr>
              <w:u w:val="single"/>
            </w:rPr>
            <w:t xml:space="preserve">that </w:t>
          </w:r>
          <w:r w:rsidR="001A389C" w:rsidRPr="001A389C">
            <w:rPr>
              <w:u w:val="single"/>
            </w:rPr>
            <w:t>shall consist of a background check as allowed through the Washington state criminal records privacy act under RCW 10.97.050 and the Washington state patrol criminal identification system under RCW 43.43.832 through 43.43.834.  This background check shall be done through the Washington state patrol criminal identification section;</w:t>
          </w:r>
          <w:r>
            <w:rPr>
              <w:u w:val="single"/>
            </w:rPr>
            <w:t xml:space="preserve"> and</w:t>
          </w:r>
          <w:r>
            <w:br/>
          </w:r>
          <w:r w:rsidRPr="00003558">
            <w:tab/>
          </w:r>
          <w:r>
            <w:rPr>
              <w:u w:val="single"/>
            </w:rPr>
            <w:t>(j)</w:t>
          </w:r>
          <w:r>
            <w:t xml:space="preserve"> Criminal history, as defined in RCW 9.94A.030</w:t>
          </w:r>
          <w:r>
            <w:rPr>
              <w:u w:val="single"/>
            </w:rPr>
            <w:t>, for the period covering ten years prior to the appointment</w:t>
          </w:r>
          <w:r>
            <w:t>.</w:t>
          </w:r>
        </w:p>
        <w:p w:rsidR="00003558" w:rsidRDefault="00003558" w:rsidP="00003558">
          <w:pPr>
            <w:pStyle w:val="RCWSLText"/>
          </w:pPr>
          <w:r>
            <w:tab/>
            <w:t>The background information ((</w:t>
          </w:r>
          <w:r>
            <w:rPr>
              <w:strike/>
            </w:rPr>
            <w:t>report</w:t>
          </w:r>
          <w:r>
            <w:t xml:space="preserve">)) </w:t>
          </w:r>
          <w:r>
            <w:rPr>
              <w:u w:val="single"/>
            </w:rPr>
            <w:t>record</w:t>
          </w:r>
          <w:r>
            <w:t xml:space="preserve"> shall be updated annually.  As a condition of appointment, the guardian ad litem's background information record shall be made available to the court.  If the appointed guardian ad litem is not a member of a guardian ad litem program ((</w:t>
          </w:r>
          <w:r>
            <w:rPr>
              <w:strike/>
            </w:rPr>
            <w:t>the</w:t>
          </w:r>
          <w:r>
            <w:t xml:space="preserve">)) </w:t>
          </w:r>
          <w:r>
            <w:rPr>
              <w:u w:val="single"/>
            </w:rPr>
            <w:t>a suitable</w:t>
          </w:r>
          <w:r>
            <w:t xml:space="preserve"> person </w:t>
          </w:r>
          <w:r>
            <w:rPr>
              <w:u w:val="single"/>
            </w:rPr>
            <w:t>appointed by the court to act as guardian ad litem</w:t>
          </w:r>
          <w:r>
            <w:t xml:space="preserve"> shall provide the background information </w:t>
          </w:r>
          <w:r>
            <w:rPr>
              <w:u w:val="single"/>
            </w:rPr>
            <w:t>record</w:t>
          </w:r>
          <w:r>
            <w:t xml:space="preserve"> to the court.</w:t>
          </w:r>
        </w:p>
        <w:p w:rsidR="00003558" w:rsidRDefault="00003558" w:rsidP="00003558">
          <w:pPr>
            <w:pStyle w:val="RCWSLText"/>
          </w:pPr>
          <w:r>
            <w:tab/>
            <w:t>Upon appointment, the guardian ad litem, or guardian ad litem program, shall provide the parties or their attorneys with a ((</w:t>
          </w:r>
          <w:r>
            <w:rPr>
              <w:strike/>
            </w:rPr>
            <w:t>statement containing:  His or her training relating to the duties as a guardian ad litem; the name of any counties in which the person was removed from a guardian ad litem registry pursuant to a grievance action, and the name of the court and the cause number of any case in which the court has removed the person for cause; and his or her criminal history as defined in RCW 9.94A.030 for the period covering ten years prior to the appointment</w:t>
          </w:r>
          <w:r>
            <w:t xml:space="preserve">)) </w:t>
          </w:r>
          <w:r>
            <w:rPr>
              <w:u w:val="single"/>
            </w:rPr>
            <w:t>copy of the background information record.  The portion of the background information record containing the results of the criminal background check and the criminal history shall not be disclosed to the parties or their attorneys</w:t>
          </w:r>
          <w:r>
            <w:t>.  The background ((</w:t>
          </w:r>
          <w:r>
            <w:rPr>
              <w:strike/>
            </w:rPr>
            <w:t>statement</w:t>
          </w:r>
          <w:r>
            <w:t xml:space="preserve">)) </w:t>
          </w:r>
          <w:r>
            <w:rPr>
              <w:u w:val="single"/>
            </w:rPr>
            <w:t>information record</w:t>
          </w:r>
          <w:r>
            <w:t xml:space="preserve"> shall not include identifying information that may be used to harm a guardian ad litem, such as home addresses and home telephone numbers, and for volunteer guardians ad litem the court may allow the use of maiden names or pseudonyms as necessary for their safety.</w:t>
          </w:r>
        </w:p>
        <w:p w:rsidR="00003558" w:rsidRDefault="00003558" w:rsidP="00003558">
          <w:pPr>
            <w:pStyle w:val="RCWSLText"/>
          </w:pPr>
          <w:r>
            <w:tab/>
            <w:t>(4) The appointment of the guardian ad litem shall remain in effect until the court discharges the appointment or no longer has jurisdiction, whichever comes first.  The guardian ad litem may also be discharged upon entry of an order of guardianship.</w:t>
          </w:r>
        </w:p>
        <w:p w:rsidR="00003558" w:rsidRDefault="00003558" w:rsidP="00003558">
          <w:pPr>
            <w:pStyle w:val="RCWSLText"/>
          </w:pPr>
          <w:r>
            <w:tab/>
            <w:t>(5) A guardian ad litem through counsel,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rsidR="00003558" w:rsidRDefault="00003558" w:rsidP="00003558">
          <w:pPr>
            <w:pStyle w:val="RCWSLText"/>
          </w:pPr>
          <w:r>
            <w:tab/>
            <w:t>(6) If the child requests legal counsel and is age twelve or older, or if the guardian ad litem or the court determines that the child needs to be independently represented by counsel, the court may appoint an attorney to represent the child's position.</w:t>
          </w:r>
        </w:p>
        <w:p w:rsidR="00003558" w:rsidRDefault="00003558" w:rsidP="00003558">
          <w:pPr>
            <w:pStyle w:val="RCWSLText"/>
          </w:pPr>
          <w:r>
            <w:tab/>
            <w:t>(7) For the purposes of child abuse prevention and treatment act (42 U.S.C. Secs. 5101 et seq.) grants to this state under P.L. 93-247, or any related state or federal legislation, a person appointed pursuant to RCW 13.34.100 shall be deemed a guardian ad litem to represent the best interests of the minor in proceedings before the court.</w:t>
          </w:r>
        </w:p>
        <w:p w:rsidR="00003558" w:rsidRDefault="00003558" w:rsidP="00003558">
          <w:pPr>
            <w:pStyle w:val="RCWSLText"/>
          </w:pPr>
          <w:r>
            <w:tab/>
            <w:t>(8) When a court-appointed special advocate or volunteer guardian ad litem is requested on a case, the program shall give the court the name of the person it recommends ((</w:t>
          </w:r>
          <w:r>
            <w:rPr>
              <w:strike/>
            </w:rPr>
            <w:t>and the appointment shall be effective immediately</w:t>
          </w:r>
          <w:r>
            <w:t xml:space="preserve">)).  </w:t>
          </w:r>
          <w:r>
            <w:rPr>
              <w:u w:val="single"/>
            </w:rPr>
            <w:t>The program shall attempt to match a child with special needs with a guardian ad litem who has specific training or education related to the child's individual needs.</w:t>
          </w:r>
          <w:r>
            <w:t xml:space="preserve">  The court shall </w:t>
          </w:r>
          <w:r>
            <w:rPr>
              <w:u w:val="single"/>
            </w:rPr>
            <w:t>immediately</w:t>
          </w:r>
          <w:r>
            <w:t xml:space="preserve"> appoint the person recommended by the program.</w:t>
          </w:r>
        </w:p>
        <w:p w:rsidR="00003558" w:rsidRDefault="00003558" w:rsidP="00003558">
          <w:pPr>
            <w:pStyle w:val="RCWSLText"/>
          </w:pPr>
          <w:r w:rsidRPr="00003558">
            <w:tab/>
          </w:r>
          <w:r>
            <w:rPr>
              <w:u w:val="single"/>
            </w:rPr>
            <w:t>(9)</w:t>
          </w:r>
          <w:r>
            <w:t xml:space="preserve"> If a party in a case reasonably believes the court-appointed special advocate or volunteer </w:t>
          </w:r>
          <w:r>
            <w:rPr>
              <w:u w:val="single"/>
            </w:rPr>
            <w:t>guardian ad litem</w:t>
          </w:r>
          <w:r>
            <w:t xml:space="preserve">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w:t>
          </w:r>
          <w:r>
            <w:rPr>
              <w:u w:val="single"/>
            </w:rPr>
            <w:t>or volunteer guardian ad litem</w:t>
          </w:r>
          <w:r>
            <w:t xml:space="preserve"> on the grounds the advocate or volunteer is inappropriate or unqualified.</w:t>
          </w:r>
        </w:p>
        <w:p w:rsidR="00003558" w:rsidRDefault="00003558" w:rsidP="00003558">
          <w:pPr>
            <w:pStyle w:val="BegSec-Amd"/>
          </w:pPr>
          <w:r>
            <w:rPr>
              <w:b/>
            </w:rPr>
            <w:t xml:space="preserve">Sec. </w:t>
          </w:r>
          <w:r w:rsidR="00BA7B30">
            <w:rPr>
              <w:b/>
            </w:rPr>
            <w:fldChar w:fldCharType="begin"/>
          </w:r>
          <w:r>
            <w:rPr>
              <w:b/>
            </w:rPr>
            <w:instrText xml:space="preserve"> LISTNUM  LegalDefault  </w:instrText>
          </w:r>
          <w:r w:rsidR="00BA7B30">
            <w:rPr>
              <w:b/>
            </w:rPr>
            <w:fldChar w:fldCharType="end"/>
          </w:r>
          <w:r>
            <w:rPr>
              <w:b/>
            </w:rPr>
            <w:t xml:space="preserve">  </w:t>
          </w:r>
          <w:r>
            <w:t>RCW 26.12.175 and 2000 c 124 s 6 are each amended to read as follows:</w:t>
          </w:r>
        </w:p>
        <w:p w:rsidR="00003558" w:rsidRDefault="00003558" w:rsidP="00003558">
          <w:pPr>
            <w:pStyle w:val="RCWSLText"/>
          </w:pPr>
          <w:r>
            <w:tab/>
            <w:t xml:space="preserve">(1)(a) The court may appoint a guardian ad litem to represent the interests of a minor or dependent child when the court believes the appointment of a guardian ad litem is necessary to protect the best interests of the child in any proceeding under this chapter.  </w:t>
          </w:r>
          <w:r>
            <w:rPr>
              <w:u w:val="single"/>
            </w:rPr>
            <w:t>The</w:t>
          </w:r>
          <w:r w:rsidR="00E95E57">
            <w:rPr>
              <w:u w:val="single"/>
            </w:rPr>
            <w:t xml:space="preserve"> court may appoint a guardian ad litem from the court-appointed special advocate program, if that program exists in the county.  The</w:t>
          </w:r>
          <w:r>
            <w:rPr>
              <w:u w:val="single"/>
            </w:rPr>
            <w:t xml:space="preserve"> court shall attempt to match a child with special needs with a guardian ad litem who has specific training or education related to the child's individual needs.</w:t>
          </w:r>
          <w:r>
            <w:t xml:space="preserve">  The family court services professionals may also make a recommendation to the court regarding whether a guardian ad litem should be appointed for the child.  ((</w:t>
          </w:r>
          <w:r w:rsidRPr="00003558">
            <w:rPr>
              <w:strike/>
            </w:rPr>
            <w:t>The court may appoint a guardian ad litem from the court-appointed special advocate program, if that program exists in the county.</w:t>
          </w:r>
          <w:r>
            <w:t>))</w:t>
          </w:r>
        </w:p>
        <w:p w:rsidR="00003558" w:rsidRDefault="00003558" w:rsidP="00003558">
          <w:pPr>
            <w:pStyle w:val="RCWSLText"/>
          </w:pPr>
          <w:r w:rsidRPr="00003558">
            <w:tab/>
          </w:r>
          <w:r>
            <w:t>(b) ((</w:t>
          </w:r>
          <w:r>
            <w:rPr>
              <w:strike/>
            </w:rPr>
            <w:t>Unless otherwise ordered,</w:t>
          </w:r>
          <w:r>
            <w:t xml:space="preserve">)) </w:t>
          </w:r>
          <w:r>
            <w:rPr>
              <w:u w:val="single"/>
            </w:rPr>
            <w:t>T</w:t>
          </w:r>
          <w:r>
            <w:t xml:space="preserve">he guardian ad litem's role is to investigate and report factual information </w:t>
          </w:r>
          <w:r>
            <w:rPr>
              <w:u w:val="single"/>
            </w:rPr>
            <w:t>regarding the issues ordered to be reported or investigated</w:t>
          </w:r>
          <w:r>
            <w:t xml:space="preserve"> to the court ((</w:t>
          </w:r>
          <w:r>
            <w:rPr>
              <w:strike/>
            </w:rPr>
            <w:t>concerning parenting arrangements for the child, and to represent the child's best interests</w:t>
          </w:r>
          <w:r>
            <w:t xml:space="preserve">)).  </w:t>
          </w:r>
          <w:r>
            <w:rPr>
              <w:u w:val="single"/>
            </w:rPr>
            <w:t>The guardian ad litem shall always represent the best interests of the child.</w:t>
          </w:r>
          <w:r>
            <w:t xml:space="preserve">  Guardians ad litem </w:t>
          </w:r>
          <w:r w:rsidR="00642E83">
            <w:t xml:space="preserve">and investigators </w:t>
          </w:r>
          <w:r>
            <w:t>under this title may make recommendations based upon ((</w:t>
          </w:r>
          <w:r>
            <w:rPr>
              <w:strike/>
            </w:rPr>
            <w:t>an independent investigation regarding the best interests of the child</w:t>
          </w:r>
          <w:r>
            <w:t xml:space="preserve">)) </w:t>
          </w:r>
          <w:r>
            <w:rPr>
              <w:u w:val="single"/>
            </w:rPr>
            <w:t>his or her investigation</w:t>
          </w:r>
          <w:r>
            <w:t>, which the court may consider and weigh in conjunction with the recommendations of all of the parties.  If a child expresses a preference regarding the parenting plan, the guardian ad litem shall report the preferences to the court, together with the facts relative to whether any preferences are being expressed voluntarily and the degree of the child's understanding.  The court may require the guardian ad litem to provide periodic reports to the parties regarding the status of his or her investigation.  The guardian ad litem shall file his or her report at least sixty days prior to trial.</w:t>
          </w:r>
        </w:p>
        <w:p w:rsidR="00003558" w:rsidRDefault="00003558" w:rsidP="00003558">
          <w:pPr>
            <w:pStyle w:val="RCWSLText"/>
          </w:pPr>
          <w:r>
            <w:tab/>
            <w:t>(c) The parties to the proceeding may file with the court written responses to any report filed by the guardian ad litem</w:t>
          </w:r>
          <w:r w:rsidR="00642E83">
            <w:t xml:space="preserve"> or investigator.  </w:t>
          </w:r>
          <w:r>
            <w:t>The court shall consider any written responses to a report filed by the guardian ad litem</w:t>
          </w:r>
          <w:r w:rsidR="00642E83">
            <w:t xml:space="preserve"> or investigator</w:t>
          </w:r>
          <w:r>
            <w:t>, including any factual information or recommendations provided in the report.</w:t>
          </w:r>
        </w:p>
        <w:p w:rsidR="00003558" w:rsidRDefault="00003558" w:rsidP="00003558">
          <w:pPr>
            <w:pStyle w:val="RCWSLText"/>
          </w:pPr>
          <w:r>
            <w:tab/>
            <w:t>(d) The court shall enter an order for costs, fees, and disbursements to cover the costs of the guardian ad litem.  The court may order either or both parents to pay for the costs of the guardian ad litem, according to their ability to pay.  If both parents are indigent, the county shall bear the cost of the guardian, subject to appropriation for guardians' ad litem services by the county legislative authority.  Guardians ad litem who are not volunteers shall provide the parties with an itemized accounting of their time and billing for services each month.</w:t>
          </w:r>
        </w:p>
        <w:p w:rsidR="00003558" w:rsidRDefault="00003558" w:rsidP="00003558">
          <w:pPr>
            <w:pStyle w:val="RCWSLText"/>
          </w:pPr>
          <w:r>
            <w:tab/>
            <w:t>(2)(a) If the guardian ad litem appointed is from the county court- appointed special advocate program, the program shall supervise any guardian ad litem assigned to the case.  The court-appointed special advocate program shall be entitled to notice of all proceedings in the case.</w:t>
          </w:r>
        </w:p>
        <w:p w:rsidR="00003558" w:rsidRDefault="00003558" w:rsidP="00003558">
          <w:pPr>
            <w:pStyle w:val="RCWSLText"/>
          </w:pPr>
          <w:r>
            <w:t xml:space="preserve"> </w:t>
          </w:r>
          <w:r>
            <w:tab/>
            <w:t xml:space="preserve">(b) The legislative authority of each county may authorize creation of a court-appointed special advocate program.  The county legislative authority may adopt rules of eligibility for court-appointed special advocate program services </w:t>
          </w:r>
          <w:r>
            <w:rPr>
              <w:u w:val="single"/>
            </w:rPr>
            <w:t>that are not inconsistent with this section</w:t>
          </w:r>
          <w:r>
            <w:t>.</w:t>
          </w:r>
        </w:p>
        <w:p w:rsidR="00003558" w:rsidRDefault="00003558" w:rsidP="00003558">
          <w:pPr>
            <w:pStyle w:val="RCWSLText"/>
          </w:pPr>
          <w:r>
            <w:tab/>
            <w:t>(3) Each guardian ad litem program</w:t>
          </w:r>
          <w:r w:rsidR="00686264">
            <w:t xml:space="preserve"> </w:t>
          </w:r>
          <w:r w:rsidR="00686264">
            <w:rPr>
              <w:u w:val="single"/>
            </w:rPr>
            <w:t>for compensated guardians ad litem and each court-appointed special advocate program</w:t>
          </w:r>
          <w:r>
            <w:t xml:space="preserve"> shall maintain a background information record for each guardian ad litem in the program.  The background ((</w:t>
          </w:r>
          <w:r>
            <w:rPr>
              <w:strike/>
            </w:rPr>
            <w:t>file</w:t>
          </w:r>
          <w:r>
            <w:t xml:space="preserve">)) </w:t>
          </w:r>
          <w:r>
            <w:rPr>
              <w:u w:val="single"/>
            </w:rPr>
            <w:t>information record</w:t>
          </w:r>
          <w:r>
            <w:t xml:space="preserve"> shall include, but is not limited to, the following information:</w:t>
          </w:r>
        </w:p>
        <w:p w:rsidR="00003558" w:rsidRDefault="00003558" w:rsidP="00003558">
          <w:pPr>
            <w:pStyle w:val="RCWSLText"/>
          </w:pPr>
          <w:r>
            <w:tab/>
            <w:t>(a) Level of formal education;</w:t>
          </w:r>
        </w:p>
        <w:p w:rsidR="00003558" w:rsidRDefault="00003558" w:rsidP="00003558">
          <w:pPr>
            <w:pStyle w:val="RCWSLText"/>
          </w:pPr>
          <w:r>
            <w:tab/>
            <w:t xml:space="preserve">(b) </w:t>
          </w:r>
          <w:r>
            <w:rPr>
              <w:u w:val="single"/>
            </w:rPr>
            <w:t>General t</w:t>
          </w:r>
          <w:r>
            <w:t>raining related to the guardian((</w:t>
          </w:r>
          <w:r>
            <w:rPr>
              <w:strike/>
            </w:rPr>
            <w:t>'s</w:t>
          </w:r>
          <w:r>
            <w:t xml:space="preserve">)) </w:t>
          </w:r>
          <w:r>
            <w:rPr>
              <w:u w:val="single"/>
            </w:rPr>
            <w:t>ad litem's</w:t>
          </w:r>
          <w:r>
            <w:t xml:space="preserve"> duties;</w:t>
          </w:r>
        </w:p>
        <w:p w:rsidR="00003558" w:rsidRDefault="00003558" w:rsidP="00003558">
          <w:pPr>
            <w:pStyle w:val="RCWSLText"/>
          </w:pPr>
          <w:r>
            <w:tab/>
            <w:t xml:space="preserve">(c) </w:t>
          </w:r>
          <w:r>
            <w:rPr>
              <w:u w:val="single"/>
            </w:rPr>
            <w:t>Specific training related to issues potentially faced by chi</w:t>
          </w:r>
          <w:r w:rsidR="00686264">
            <w:rPr>
              <w:u w:val="single"/>
            </w:rPr>
            <w:t>ldren in dissolution, custody, paternity, and other family law proceedings;</w:t>
          </w:r>
          <w:r>
            <w:br/>
          </w:r>
          <w:r w:rsidRPr="00897A25">
            <w:tab/>
          </w:r>
          <w:r>
            <w:rPr>
              <w:u w:val="single"/>
            </w:rPr>
            <w:t>(d) Specific training or education related to child di</w:t>
          </w:r>
          <w:r w:rsidR="00686264">
            <w:rPr>
              <w:u w:val="single"/>
            </w:rPr>
            <w:t>sability or developmental issues</w:t>
          </w:r>
          <w:r>
            <w:rPr>
              <w:u w:val="single"/>
            </w:rPr>
            <w:t>;</w:t>
          </w:r>
          <w:r>
            <w:br/>
          </w:r>
          <w:r w:rsidRPr="00897A25">
            <w:tab/>
          </w:r>
          <w:r>
            <w:rPr>
              <w:u w:val="single"/>
            </w:rPr>
            <w:t>(e)</w:t>
          </w:r>
          <w:r>
            <w:t xml:space="preserve"> Number of years' experience as a guardian ad litem;</w:t>
          </w:r>
        </w:p>
        <w:p w:rsidR="00003558" w:rsidRDefault="00003558" w:rsidP="00003558">
          <w:pPr>
            <w:pStyle w:val="RCWSLText"/>
          </w:pPr>
          <w:r>
            <w:tab/>
            <w:t>((</w:t>
          </w:r>
          <w:r>
            <w:rPr>
              <w:strike/>
            </w:rPr>
            <w:t>(d)</w:t>
          </w:r>
          <w:r>
            <w:t xml:space="preserve">)) </w:t>
          </w:r>
          <w:r>
            <w:rPr>
              <w:u w:val="single"/>
            </w:rPr>
            <w:t>(f)</w:t>
          </w:r>
          <w:r>
            <w:t xml:space="preserve"> Number of appointments as a guardian ad litem and county or counties of appointment;</w:t>
          </w:r>
        </w:p>
        <w:p w:rsidR="00003558" w:rsidRDefault="00003558" w:rsidP="00003558">
          <w:pPr>
            <w:pStyle w:val="RCWSLText"/>
          </w:pPr>
          <w:r>
            <w:tab/>
            <w:t>((</w:t>
          </w:r>
          <w:r>
            <w:rPr>
              <w:strike/>
            </w:rPr>
            <w:t>(e)</w:t>
          </w:r>
          <w:r>
            <w:t xml:space="preserve">)) </w:t>
          </w:r>
          <w:r>
            <w:rPr>
              <w:u w:val="single"/>
            </w:rPr>
            <w:t>(g)</w:t>
          </w:r>
          <w:r>
            <w:t xml:space="preserve"> The names of any counties in which the person was removed from a guardian ad litem registry pursuant to a grievance action, and the name of the court and the cause number of any case in which the court has removed the person for cause; ((</w:t>
          </w:r>
          <w:r>
            <w:rPr>
              <w:strike/>
            </w:rPr>
            <w:t>and</w:t>
          </w:r>
          <w:r>
            <w:br/>
          </w:r>
          <w:r>
            <w:rPr>
              <w:strike/>
            </w:rPr>
            <w:tab/>
            <w:t>(f)</w:t>
          </w:r>
          <w:r>
            <w:t xml:space="preserve">)) </w:t>
          </w:r>
          <w:r>
            <w:rPr>
              <w:u w:val="single"/>
            </w:rPr>
            <w:t>(h) Founded allegations of abuse or neglect as defined in RCW 26.44.020;</w:t>
          </w:r>
          <w:r>
            <w:br/>
          </w:r>
          <w:r w:rsidRPr="00897A25">
            <w:tab/>
          </w:r>
          <w:r>
            <w:rPr>
              <w:u w:val="single"/>
            </w:rPr>
            <w:t xml:space="preserve">(i) </w:t>
          </w:r>
          <w:r w:rsidR="001A389C" w:rsidRPr="001A389C">
            <w:rPr>
              <w:u w:val="single"/>
            </w:rPr>
            <w:t>The</w:t>
          </w:r>
          <w:r w:rsidR="001A389C">
            <w:rPr>
              <w:u w:val="single"/>
            </w:rPr>
            <w:t xml:space="preserve"> results of an examination that </w:t>
          </w:r>
          <w:r w:rsidR="001A389C" w:rsidRPr="001A389C">
            <w:rPr>
              <w:u w:val="single"/>
            </w:rPr>
            <w:t>shall consist of a background check as allowed through the Washington state criminal records privacy act under RCW 10.97.050 and the Washington state patrol criminal identification system under RCW 43.43.832 through 43.43.834.  This background check shall be done through the Washington state patrol criminal identification section;</w:t>
          </w:r>
          <w:r w:rsidR="001A389C">
            <w:rPr>
              <w:u w:val="single"/>
            </w:rPr>
            <w:t xml:space="preserve"> </w:t>
          </w:r>
          <w:r>
            <w:rPr>
              <w:u w:val="single"/>
            </w:rPr>
            <w:t>and</w:t>
          </w:r>
          <w:r>
            <w:br/>
          </w:r>
          <w:r w:rsidRPr="00897A25">
            <w:tab/>
          </w:r>
          <w:r>
            <w:rPr>
              <w:u w:val="single"/>
            </w:rPr>
            <w:t>(j)</w:t>
          </w:r>
          <w:r>
            <w:t xml:space="preserve"> Criminal history, as defined in RCW 9.94A.030</w:t>
          </w:r>
          <w:r>
            <w:rPr>
              <w:u w:val="single"/>
            </w:rPr>
            <w:t>, for the period covering ten years prior to the appointment</w:t>
          </w:r>
          <w:r>
            <w:t>.</w:t>
          </w:r>
        </w:p>
        <w:p w:rsidR="00003558" w:rsidRDefault="00003558" w:rsidP="00003558">
          <w:pPr>
            <w:pStyle w:val="RCWSLText"/>
          </w:pPr>
          <w:r>
            <w:tab/>
            <w:t>The background information ((</w:t>
          </w:r>
          <w:r>
            <w:rPr>
              <w:strike/>
            </w:rPr>
            <w:t>report</w:t>
          </w:r>
          <w:r>
            <w:t xml:space="preserve">)) </w:t>
          </w:r>
          <w:r>
            <w:rPr>
              <w:u w:val="single"/>
            </w:rPr>
            <w:t>record</w:t>
          </w:r>
          <w:r>
            <w:t xml:space="preserve"> shall be updated annually.  As a condition of appointment, the guardian ad litem's background information record shall be made available to the court.  If the appointed guardian ad litem is not a member of a guardian ad litem program the person </w:t>
          </w:r>
          <w:r>
            <w:rPr>
              <w:u w:val="single"/>
            </w:rPr>
            <w:t>appointed as guardian ad litem</w:t>
          </w:r>
          <w:r>
            <w:t xml:space="preserve"> shall provide the background information </w:t>
          </w:r>
          <w:r>
            <w:rPr>
              <w:u w:val="single"/>
            </w:rPr>
            <w:t>record</w:t>
          </w:r>
          <w:r>
            <w:t xml:space="preserve"> to the court.</w:t>
          </w:r>
        </w:p>
        <w:p w:rsidR="00003558" w:rsidRDefault="00003558" w:rsidP="00003558">
          <w:pPr>
            <w:pStyle w:val="RCWSLText"/>
          </w:pPr>
          <w:r>
            <w:tab/>
            <w:t xml:space="preserve">Upon appointment, the guardian ad litem, </w:t>
          </w:r>
          <w:r w:rsidR="00897A25">
            <w:rPr>
              <w:u w:val="single"/>
            </w:rPr>
            <w:t>court-appointed special advocate program</w:t>
          </w:r>
          <w:r w:rsidR="00897A25">
            <w:t xml:space="preserve"> </w:t>
          </w:r>
          <w:r>
            <w:t>or guardian ad litem program, shall provide the parties or their attorneys with a ((</w:t>
          </w:r>
          <w:r>
            <w:rPr>
              <w:strike/>
            </w:rPr>
            <w:t>statement containing:  His or her training relating to the duties as a guardian ad litem; the name of any counties in which the person was removed from a guardian ad litem registry pursuant to a grievance action, and the name of the court and the cause number of any case in which the court has removed the person for cause; and his or her criminal history as defined in RCW 9.94A.030 for the period covering ten years prior to the appointment</w:t>
          </w:r>
          <w:r>
            <w:t xml:space="preserve">)) </w:t>
          </w:r>
          <w:r>
            <w:rPr>
              <w:u w:val="single"/>
            </w:rPr>
            <w:t>copy of the background information record.  The portion of the background information record containing the results of the criminal background check and the criminal history shall not be disclosed to the parties or their attorneys</w:t>
          </w:r>
          <w:r>
            <w:t>.  The background ((</w:t>
          </w:r>
          <w:r>
            <w:rPr>
              <w:strike/>
            </w:rPr>
            <w:t>statement</w:t>
          </w:r>
          <w:r>
            <w:t xml:space="preserve">)) </w:t>
          </w:r>
          <w:r>
            <w:rPr>
              <w:u w:val="single"/>
            </w:rPr>
            <w:t>information record</w:t>
          </w:r>
          <w:r>
            <w:t xml:space="preserve"> shall not include identifying information that may be used to harm a guardian ad litem, such as home addresses and home telephone numbers, and for volunteer guardians ad litem the court may allow the use of maiden names or pseudonyms as necessary for their safety.</w:t>
          </w:r>
        </w:p>
        <w:p w:rsidR="00003558" w:rsidRDefault="00003558" w:rsidP="00003558">
          <w:pPr>
            <w:pStyle w:val="RCWSLText"/>
          </w:pPr>
          <w:r>
            <w:tab/>
            <w:t>(4) When a court-appointed special advocate or volunteer guardian ad litem is requested on a case, the program shall give the court the name of the person it recommends ((</w:t>
          </w:r>
          <w:r>
            <w:rPr>
              <w:strike/>
            </w:rPr>
            <w:t>and the appointment shall be effective immediately</w:t>
          </w:r>
          <w:r>
            <w:t xml:space="preserve">)).  The court shall </w:t>
          </w:r>
          <w:r>
            <w:rPr>
              <w:u w:val="single"/>
            </w:rPr>
            <w:t>immediately</w:t>
          </w:r>
          <w:r>
            <w:t xml:space="preserve"> appoint the person recommended by the program.</w:t>
          </w:r>
        </w:p>
        <w:p w:rsidR="00003558" w:rsidRDefault="00473D79" w:rsidP="00003558">
          <w:pPr>
            <w:pStyle w:val="RCWSLText"/>
          </w:pPr>
          <w:r w:rsidRPr="00473D79">
            <w:tab/>
          </w:r>
          <w:r w:rsidR="00003558">
            <w:rPr>
              <w:u w:val="single"/>
            </w:rPr>
            <w:t>(5)</w:t>
          </w:r>
          <w:r w:rsidR="00003558">
            <w:t xml:space="preserve"> If a party in a case reasonably believes the court-appointed special advocate or volunteer </w:t>
          </w:r>
          <w:r w:rsidR="00003558">
            <w:rPr>
              <w:u w:val="single"/>
            </w:rPr>
            <w:t>guardian ad litem</w:t>
          </w:r>
          <w:r w:rsidR="00003558">
            <w:t xml:space="preserve">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w:t>
          </w:r>
          <w:r w:rsidR="00003558">
            <w:rPr>
              <w:u w:val="single"/>
            </w:rPr>
            <w:t>or volunteer guardian ad litem</w:t>
          </w:r>
          <w:r w:rsidR="00003558">
            <w:t xml:space="preserve"> on the grounds the advocate or volunteer is inappropriate or unqualified.</w:t>
          </w:r>
        </w:p>
        <w:p w:rsidR="00003558" w:rsidRDefault="00003558" w:rsidP="00003558">
          <w:pPr>
            <w:pStyle w:val="BegSec-Amd"/>
          </w:pPr>
          <w:r>
            <w:rPr>
              <w:b/>
            </w:rPr>
            <w:t xml:space="preserve">Sec. </w:t>
          </w:r>
          <w:r w:rsidR="00BA7B30">
            <w:rPr>
              <w:b/>
            </w:rPr>
            <w:fldChar w:fldCharType="begin"/>
          </w:r>
          <w:r>
            <w:rPr>
              <w:b/>
            </w:rPr>
            <w:instrText xml:space="preserve"> LISTNUM  LegalDefault  </w:instrText>
          </w:r>
          <w:r w:rsidR="00BA7B30">
            <w:rPr>
              <w:b/>
            </w:rPr>
            <w:fldChar w:fldCharType="end"/>
          </w:r>
          <w:r>
            <w:rPr>
              <w:b/>
            </w:rPr>
            <w:t xml:space="preserve">  </w:t>
          </w:r>
          <w:r>
            <w:t>RCW 26.12.177 and 2007 c 496 s 305 are each amended to read as follows:</w:t>
          </w:r>
        </w:p>
        <w:p w:rsidR="00003558" w:rsidRDefault="00003558" w:rsidP="00003558">
          <w:pPr>
            <w:pStyle w:val="RCWSLText"/>
          </w:pPr>
          <w:r>
            <w:tab/>
            <w:t>(1) All guardians ad litem</w:t>
          </w:r>
          <w:r w:rsidR="0017469F">
            <w:t xml:space="preserve"> </w:t>
          </w:r>
          <w:r w:rsidR="00642E83">
            <w:t xml:space="preserve"> and investigators </w:t>
          </w:r>
          <w:r>
            <w:t>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the guardians ad litem</w:t>
          </w:r>
          <w:r w:rsidR="00642E83">
            <w:t xml:space="preserve"> and investigators </w:t>
          </w:r>
          <w:r>
            <w:t>appointed under this title must have additional relevant training under RCW 2.56.030(15) and as recommended under RCW 2.53.040, when it is available.</w:t>
          </w:r>
        </w:p>
        <w:p w:rsidR="00003558" w:rsidRDefault="00003558" w:rsidP="00003558">
          <w:pPr>
            <w:pStyle w:val="RCWSLText"/>
          </w:pPr>
          <w:r>
            <w:tab/>
            <w:t>(2)</w:t>
          </w:r>
          <w:r w:rsidR="00473D79">
            <w:t>(</w:t>
          </w:r>
          <w:r>
            <w:t>a) Each guardian ad litem program for compensated guardians ad litem shall establish a rotational registry system for the appointment of guardians ad litem</w:t>
          </w:r>
          <w:r w:rsidR="00642E83">
            <w:t xml:space="preserve"> and investigators </w:t>
          </w:r>
          <w:r>
            <w:t>under this title.  If a judicial district does not have a program the court shall establish the rotational registry system.  Guardians ad litem</w:t>
          </w:r>
          <w:r w:rsidR="00642E83">
            <w:t xml:space="preserve"> and investigators</w:t>
          </w:r>
          <w:r w:rsidR="0005232A">
            <w:t xml:space="preserve"> </w:t>
          </w:r>
          <w:r>
            <w:t>under this title shall be selected from the registry except in exceptional circumstances as determined and documented by the court.  The parties may make a joint recommendation for the appointment of a guardian ad litem from the registry.</w:t>
          </w:r>
        </w:p>
        <w:p w:rsidR="00003558" w:rsidRDefault="00003558" w:rsidP="00003558">
          <w:pPr>
            <w:pStyle w:val="RCWSLText"/>
          </w:pPr>
          <w:r>
            <w:tab/>
            <w:t xml:space="preserve">(b) In judicial districts with a population over one hundred thousand, a list of three names shall be selected from the registry and given to the parties along with the background information </w:t>
          </w:r>
          <w:r>
            <w:rPr>
              <w:u w:val="single"/>
            </w:rPr>
            <w:t>record</w:t>
          </w:r>
          <w:r>
            <w:t xml:space="preserve">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rsidR="00003558" w:rsidRDefault="00003558" w:rsidP="00003558">
          <w:pPr>
            <w:pStyle w:val="RCWSLText"/>
          </w:pPr>
          <w:r>
            <w:tab/>
            <w:t>(c) If a party reasonably believes that the appointed guardian ad litem ((</w:t>
          </w:r>
          <w:r>
            <w:rPr>
              <w:strike/>
            </w:rPr>
            <w:t>lacks the necessary expertise for the proceeding</w:t>
          </w:r>
          <w:r>
            <w:t xml:space="preserve">)) </w:t>
          </w:r>
          <w:r>
            <w:rPr>
              <w:u w:val="single"/>
            </w:rPr>
            <w:t>is inappropriate or unqualified</w:t>
          </w:r>
          <w:r>
            <w:t>,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rsidR="00003558" w:rsidRDefault="00003558" w:rsidP="00003558">
          <w:pPr>
            <w:pStyle w:val="RCWSLText"/>
          </w:pPr>
          <w:r>
            <w:tab/>
            <w:t>(d)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w:t>
          </w:r>
        </w:p>
        <w:p w:rsidR="00003558" w:rsidRDefault="00003558" w:rsidP="00003558">
          <w:pPr>
            <w:pStyle w:val="RCWSLText"/>
          </w:pPr>
          <w:r>
            <w:tab/>
            <w:t>(e) The superior court shall remove any person from the guardian ad litem registry who ((</w:t>
          </w:r>
          <w:r>
            <w:rPr>
              <w:strike/>
            </w:rPr>
            <w:t>misrepresents</w:t>
          </w:r>
          <w:r>
            <w:t xml:space="preserve">)) </w:t>
          </w:r>
          <w:r>
            <w:rPr>
              <w:u w:val="single"/>
            </w:rPr>
            <w:t>has been found to have misrepresented</w:t>
          </w:r>
          <w:r>
            <w:t xml:space="preserve"> his or her qualifications ((</w:t>
          </w:r>
          <w:r>
            <w:rPr>
              <w:strike/>
            </w:rPr>
            <w:t>pursuant to a grievance procedure established by the court</w:t>
          </w:r>
          <w:r>
            <w:t>)).</w:t>
          </w:r>
        </w:p>
        <w:p w:rsidR="00003558" w:rsidRDefault="00003558" w:rsidP="00642E83">
          <w:pPr>
            <w:pStyle w:val="RCWSLText"/>
          </w:pPr>
          <w:r>
            <w:tab/>
          </w:r>
          <w:r w:rsidR="00C54ED3">
            <w:t xml:space="preserve">(3) </w:t>
          </w:r>
          <w:r>
            <w:t>The rotational registry system shall not apply to court-appointed special advocate programs</w:t>
          </w:r>
          <w:r w:rsidR="00597CEC">
            <w:t>.</w:t>
          </w:r>
          <w:bookmarkStart w:id="1" w:name="History"/>
          <w:bookmarkEnd w:id="1"/>
          <w:r>
            <w:t>"</w:t>
          </w:r>
        </w:p>
        <w:p w:rsidR="00DF5D0E" w:rsidRPr="00523C5A" w:rsidRDefault="00395F30" w:rsidP="00CE45FE">
          <w:pPr>
            <w:pStyle w:val="RCWSLText"/>
            <w:suppressAutoHyphens w:val="0"/>
          </w:pPr>
          <w:r>
            <w:tab/>
          </w:r>
        </w:p>
      </w:customXml>
      <w:customXml w:element="Effect">
        <w:p w:rsidR="00ED2EEB" w:rsidRDefault="00DE256E" w:rsidP="00275996">
          <w:pPr>
            <w:pStyle w:val="Effect"/>
            <w:suppressLineNumbers/>
          </w:pPr>
          <w:r>
            <w:tab/>
          </w:r>
        </w:p>
        <w:p w:rsidR="00AC3F93" w:rsidRDefault="00ED2EEB" w:rsidP="00275996">
          <w:pPr>
            <w:pStyle w:val="Effect"/>
            <w:suppressLineNumbers/>
          </w:pPr>
          <w:r>
            <w:tab/>
          </w:r>
          <w:r w:rsidR="00DE256E">
            <w:tab/>
          </w:r>
          <w:r w:rsidR="00DE256E" w:rsidRPr="00275996">
            <w:rPr>
              <w:b/>
              <w:u w:val="single"/>
            </w:rPr>
            <w:t>EFFECT:</w:t>
          </w:r>
          <w:r w:rsidR="00DE256E">
            <w:t>   </w:t>
          </w:r>
          <w:r w:rsidR="00AC3F93">
            <w:t xml:space="preserve">Clarifies that the mandatory reporting statute applies to </w:t>
          </w:r>
          <w:r w:rsidR="0071046A">
            <w:t xml:space="preserve">guardians ad litem who are </w:t>
          </w:r>
          <w:r w:rsidR="00AC3F93">
            <w:t>court appointed special advocates (CASA</w:t>
          </w:r>
          <w:r w:rsidR="0071046A">
            <w:t>s</w:t>
          </w:r>
          <w:r w:rsidR="00AC3F93">
            <w:t>).</w:t>
          </w:r>
        </w:p>
        <w:p w:rsidR="00AC3F93" w:rsidRDefault="00AC3F93" w:rsidP="00275996">
          <w:pPr>
            <w:pStyle w:val="Effect"/>
            <w:suppressLineNumbers/>
          </w:pPr>
        </w:p>
        <w:p w:rsidR="00AC3F93" w:rsidRDefault="00AC3F93" w:rsidP="00275996">
          <w:pPr>
            <w:pStyle w:val="Effect"/>
            <w:suppressLineNumbers/>
          </w:pPr>
          <w:r>
            <w:tab/>
          </w:r>
          <w:r>
            <w:tab/>
            <w:t>Removes the procedures allowing a party to remove a GAL within five days of appointment</w:t>
          </w:r>
          <w:r w:rsidR="0071046A">
            <w:t>. R</w:t>
          </w:r>
          <w:r>
            <w:t xml:space="preserve">emoves </w:t>
          </w:r>
          <w:r w:rsidR="0071046A">
            <w:t xml:space="preserve">language stating that the court need not appoint the person recommended by the CASA program if the court believes the appointee </w:t>
          </w:r>
          <w:r>
            <w:t xml:space="preserve">is inappropriate or unqualified. </w:t>
          </w:r>
        </w:p>
        <w:p w:rsidR="00AC3F93" w:rsidRDefault="00AC3F93" w:rsidP="00275996">
          <w:pPr>
            <w:pStyle w:val="Effect"/>
            <w:suppressLineNumbers/>
          </w:pPr>
        </w:p>
        <w:p w:rsidR="00AC3F93" w:rsidRDefault="00AC3F93" w:rsidP="00275996">
          <w:pPr>
            <w:pStyle w:val="Effect"/>
            <w:suppressLineNumbers/>
          </w:pPr>
          <w:r>
            <w:tab/>
          </w:r>
          <w:r>
            <w:tab/>
            <w:t>Removes the requirement that the</w:t>
          </w:r>
          <w:r w:rsidR="0071046A">
            <w:t xml:space="preserve"> GAL's background information include </w:t>
          </w:r>
          <w:r>
            <w:t>a fingerprint-based FBI check.</w:t>
          </w:r>
        </w:p>
        <w:p w:rsidR="00AC3F93" w:rsidRDefault="00AC3F93" w:rsidP="00275996">
          <w:pPr>
            <w:pStyle w:val="Effect"/>
            <w:suppressLineNumbers/>
          </w:pPr>
        </w:p>
        <w:p w:rsidR="00160C1A" w:rsidRDefault="00AC3F93" w:rsidP="00275996">
          <w:pPr>
            <w:pStyle w:val="Effect"/>
            <w:suppressLineNumbers/>
          </w:pPr>
          <w:r>
            <w:tab/>
          </w:r>
          <w:r>
            <w:tab/>
          </w:r>
          <w:r w:rsidR="00160C1A">
            <w:t>Specifies that the requirement for a court to attempt to match a child with a specially</w:t>
          </w:r>
          <w:r w:rsidR="0071046A">
            <w:t>-</w:t>
          </w:r>
          <w:r w:rsidR="00160C1A">
            <w:t xml:space="preserve">trained GAL applies to children with special needs.  </w:t>
          </w:r>
        </w:p>
        <w:p w:rsidR="00160C1A" w:rsidRDefault="00160C1A" w:rsidP="00275996">
          <w:pPr>
            <w:pStyle w:val="Effect"/>
            <w:suppressLineNumbers/>
          </w:pPr>
        </w:p>
        <w:p w:rsidR="00160C1A" w:rsidRDefault="00160C1A" w:rsidP="00160C1A">
          <w:pPr>
            <w:pStyle w:val="Effect"/>
            <w:suppressLineNumbers/>
          </w:pPr>
          <w:r>
            <w:tab/>
          </w:r>
          <w:r>
            <w:tab/>
          </w:r>
          <w:r w:rsidR="001E706A">
            <w:t>Re</w:t>
          </w:r>
          <w:r w:rsidR="00642E83">
            <w:t>stores</w:t>
          </w:r>
          <w:r w:rsidR="00F82FBC">
            <w:t xml:space="preserve"> </w:t>
          </w:r>
          <w:r w:rsidR="00642E83">
            <w:t xml:space="preserve">the language allowing investigators to make </w:t>
          </w:r>
          <w:r w:rsidR="00324908">
            <w:t>r</w:t>
          </w:r>
          <w:r w:rsidR="00642E83">
            <w:t xml:space="preserve">ecommendations to the court in </w:t>
          </w:r>
          <w:r w:rsidR="002650FF">
            <w:t>family law proceedings</w:t>
          </w:r>
          <w:r>
            <w:t>.</w:t>
          </w:r>
        </w:p>
        <w:p w:rsidR="00160C1A" w:rsidRDefault="00160C1A" w:rsidP="00160C1A">
          <w:pPr>
            <w:pStyle w:val="Effect"/>
            <w:suppressLineNumbers/>
          </w:pPr>
        </w:p>
        <w:p w:rsidR="00DF5D0E" w:rsidRPr="00275996" w:rsidRDefault="00160C1A" w:rsidP="00160C1A">
          <w:pPr>
            <w:pStyle w:val="Effect"/>
            <w:suppressLineNumbers/>
          </w:pPr>
          <w:r>
            <w:tab/>
          </w:r>
          <w:r>
            <w:tab/>
            <w:t xml:space="preserve">Removes the </w:t>
          </w:r>
          <w:r w:rsidR="00F82FBC">
            <w:t xml:space="preserve">requirement that a court find </w:t>
          </w:r>
          <w:r w:rsidR="00C54ED3">
            <w:t xml:space="preserve">that </w:t>
          </w:r>
          <w:r w:rsidR="00F82FBC">
            <w:t xml:space="preserve">the GAL </w:t>
          </w:r>
          <w:r w:rsidR="00F82FBC" w:rsidRPr="00F82FBC">
            <w:rPr>
              <w:i/>
            </w:rPr>
            <w:t>substantially</w:t>
          </w:r>
          <w:r w:rsidR="00F82FBC">
            <w:t xml:space="preserve"> misrepresented his or her qualifications before the court can remove the GAL from the registry.</w:t>
          </w:r>
        </w:p>
      </w:customXml>
      <w:permEnd w:id="1"/>
      <w:p w:rsidR="00DF5D0E" w:rsidRDefault="00DF5D0E" w:rsidP="00275996">
        <w:pPr>
          <w:pStyle w:val="AmendSectionPostSpace"/>
          <w:suppressLineNumbers/>
        </w:pPr>
      </w:p>
      <w:p w:rsidR="00DF5D0E" w:rsidRDefault="00DF5D0E" w:rsidP="00275996">
        <w:pPr>
          <w:pStyle w:val="BillEnd"/>
          <w:suppressLineNumbers/>
        </w:pPr>
      </w:p>
      <w:p w:rsidR="00DF5D0E" w:rsidRDefault="00DE256E" w:rsidP="00275996">
        <w:pPr>
          <w:pStyle w:val="BillEnd"/>
          <w:suppressLineNumbers/>
        </w:pPr>
        <w:r>
          <w:rPr>
            <w:b/>
          </w:rPr>
          <w:t>--- END ---</w:t>
        </w:r>
      </w:p>
      <w:p w:rsidR="00DF5D0E" w:rsidRDefault="00BA7B30" w:rsidP="0027599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E3B" w:rsidRDefault="00462E3B" w:rsidP="00DF5D0E">
      <w:r>
        <w:separator/>
      </w:r>
    </w:p>
  </w:endnote>
  <w:endnote w:type="continuationSeparator" w:id="1">
    <w:p w:rsidR="00462E3B" w:rsidRDefault="00462E3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A7B30">
    <w:pPr>
      <w:pStyle w:val="AmendDraftFooter"/>
    </w:pPr>
    <w:fldSimple w:instr=" TITLE   \* MERGEFORMAT ">
      <w:r w:rsidR="00605A61">
        <w:t>5285-S AMH JUDI TANG 052</w:t>
      </w:r>
    </w:fldSimple>
    <w:r w:rsidR="00DE256E">
      <w:tab/>
    </w:r>
    <w:r>
      <w:fldChar w:fldCharType="begin"/>
    </w:r>
    <w:r w:rsidR="00DE256E">
      <w:instrText xml:space="preserve"> PAGE  \* Arabic  \* MERGEFORMAT </w:instrText>
    </w:r>
    <w:r>
      <w:fldChar w:fldCharType="separate"/>
    </w:r>
    <w:r w:rsidR="00605A6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A7B30">
    <w:pPr>
      <w:pStyle w:val="AmendDraftFooter"/>
    </w:pPr>
    <w:fldSimple w:instr=" TITLE   \* MERGEFORMAT ">
      <w:r w:rsidR="00605A61">
        <w:t>5285-S AMH JUDI TANG 052</w:t>
      </w:r>
    </w:fldSimple>
    <w:r w:rsidR="00DE256E">
      <w:tab/>
    </w:r>
    <w:r>
      <w:fldChar w:fldCharType="begin"/>
    </w:r>
    <w:r w:rsidR="00DE256E">
      <w:instrText xml:space="preserve"> PAGE  \* Arabic  \* MERGEFORMAT </w:instrText>
    </w:r>
    <w:r>
      <w:fldChar w:fldCharType="separate"/>
    </w:r>
    <w:r w:rsidR="00605A6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E3B" w:rsidRDefault="00462E3B" w:rsidP="00DF5D0E">
      <w:r>
        <w:separator/>
      </w:r>
    </w:p>
  </w:footnote>
  <w:footnote w:type="continuationSeparator" w:id="1">
    <w:p w:rsidR="00462E3B" w:rsidRDefault="00462E3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A7B3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A7B3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3558"/>
    <w:rsid w:val="00017F0B"/>
    <w:rsid w:val="0005232A"/>
    <w:rsid w:val="00060D21"/>
    <w:rsid w:val="00090752"/>
    <w:rsid w:val="00096165"/>
    <w:rsid w:val="000C6C82"/>
    <w:rsid w:val="000D3EA3"/>
    <w:rsid w:val="000E603A"/>
    <w:rsid w:val="00106544"/>
    <w:rsid w:val="00160C1A"/>
    <w:rsid w:val="0017469F"/>
    <w:rsid w:val="00196BA2"/>
    <w:rsid w:val="001A389C"/>
    <w:rsid w:val="001A775A"/>
    <w:rsid w:val="001E6675"/>
    <w:rsid w:val="001E706A"/>
    <w:rsid w:val="00217E8A"/>
    <w:rsid w:val="002650FF"/>
    <w:rsid w:val="00275996"/>
    <w:rsid w:val="00281CBD"/>
    <w:rsid w:val="00316CD9"/>
    <w:rsid w:val="00324908"/>
    <w:rsid w:val="00395F30"/>
    <w:rsid w:val="003E2FC6"/>
    <w:rsid w:val="0045512F"/>
    <w:rsid w:val="00462E3B"/>
    <w:rsid w:val="00473D79"/>
    <w:rsid w:val="00492DDC"/>
    <w:rsid w:val="004A5C2A"/>
    <w:rsid w:val="004A7BCD"/>
    <w:rsid w:val="00523C5A"/>
    <w:rsid w:val="00597CEC"/>
    <w:rsid w:val="00605A61"/>
    <w:rsid w:val="00605C39"/>
    <w:rsid w:val="00642E83"/>
    <w:rsid w:val="006841E6"/>
    <w:rsid w:val="00686264"/>
    <w:rsid w:val="006F7027"/>
    <w:rsid w:val="0071046A"/>
    <w:rsid w:val="0072335D"/>
    <w:rsid w:val="0072541D"/>
    <w:rsid w:val="007356FF"/>
    <w:rsid w:val="007D35D4"/>
    <w:rsid w:val="00846034"/>
    <w:rsid w:val="00852530"/>
    <w:rsid w:val="0089295B"/>
    <w:rsid w:val="00897A25"/>
    <w:rsid w:val="00931B84"/>
    <w:rsid w:val="00972869"/>
    <w:rsid w:val="009F23A9"/>
    <w:rsid w:val="00A01F29"/>
    <w:rsid w:val="00A93D4A"/>
    <w:rsid w:val="00AC3F93"/>
    <w:rsid w:val="00AC431B"/>
    <w:rsid w:val="00AD2D0A"/>
    <w:rsid w:val="00B31D1C"/>
    <w:rsid w:val="00B518D0"/>
    <w:rsid w:val="00B567ED"/>
    <w:rsid w:val="00B66B20"/>
    <w:rsid w:val="00B73E0A"/>
    <w:rsid w:val="00B961E0"/>
    <w:rsid w:val="00BA7B30"/>
    <w:rsid w:val="00C54ED3"/>
    <w:rsid w:val="00CE45FE"/>
    <w:rsid w:val="00D40447"/>
    <w:rsid w:val="00DA47F3"/>
    <w:rsid w:val="00DE256E"/>
    <w:rsid w:val="00DF5D0E"/>
    <w:rsid w:val="00E1471A"/>
    <w:rsid w:val="00E41CC6"/>
    <w:rsid w:val="00E66F5D"/>
    <w:rsid w:val="00E95E57"/>
    <w:rsid w:val="00E9639D"/>
    <w:rsid w:val="00EA0352"/>
    <w:rsid w:val="00ED2EEB"/>
    <w:rsid w:val="00F229DE"/>
    <w:rsid w:val="00F4663F"/>
    <w:rsid w:val="00F51C7D"/>
    <w:rsid w:val="00F82FBC"/>
    <w:rsid w:val="00FB16D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245</TotalTime>
  <Pages>3</Pages>
  <Words>4785</Words>
  <Characters>27280</Characters>
  <Application>Microsoft Office Word</Application>
  <DocSecurity>8</DocSecurity>
  <Lines>227</Lines>
  <Paragraphs>64</Paragraphs>
  <ScaleCrop>false</ScaleCrop>
  <HeadingPairs>
    <vt:vector size="2" baseType="variant">
      <vt:variant>
        <vt:lpstr>Title</vt:lpstr>
      </vt:variant>
      <vt:variant>
        <vt:i4>1</vt:i4>
      </vt:variant>
    </vt:vector>
  </HeadingPairs>
  <TitlesOfParts>
    <vt:vector size="1" baseType="lpstr">
      <vt:lpstr>5285-S AMH JUDI TANG 052</vt:lpstr>
    </vt:vector>
  </TitlesOfParts>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5285-S AMH JUDI TANG 052</dc:title>
  <dc:subject/>
  <dc:creator>Washington State Legislature</dc:creator>
  <cp:keywords/>
  <dc:description/>
  <cp:lastModifiedBy>Washington State Legislature</cp:lastModifiedBy>
  <cp:revision>28</cp:revision>
  <cp:lastPrinted>2009-03-19T20:13:00Z</cp:lastPrinted>
  <dcterms:created xsi:type="dcterms:W3CDTF">2009-03-18T18:51:00Z</dcterms:created>
  <dcterms:modified xsi:type="dcterms:W3CDTF">2009-03-19T20:13:00Z</dcterms:modified>
</cp:coreProperties>
</file>