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136F8" w:rsidP="0072541D">
          <w:pPr>
            <w:pStyle w:val="AmendDocName"/>
          </w:pPr>
          <w:customXml w:element="BillDocName">
            <w:r>
              <w:t xml:space="preserve">1393-S2</w:t>
            </w:r>
          </w:customXml>
          <w:customXml w:element="AmendType">
            <w:r>
              <w:t xml:space="preserve"> AMH</w:t>
            </w:r>
          </w:customXml>
          <w:customXml w:element="SponsorAcronym">
            <w:r>
              <w:t xml:space="preserve"> RODN</w:t>
            </w:r>
          </w:customXml>
          <w:customXml w:element="DrafterAcronym">
            <w:r>
              <w:t xml:space="preserve"> ADAM</w:t>
            </w:r>
          </w:customXml>
          <w:customXml w:element="DraftNumber">
            <w:r>
              <w:t xml:space="preserve"> 035</w:t>
            </w:r>
          </w:customXml>
        </w:p>
      </w:customXml>
      <w:customXml w:element="OfferedBy">
        <w:p w:rsidR="00DF5D0E" w:rsidRDefault="000402EE" w:rsidP="00B73E0A">
          <w:pPr>
            <w:pStyle w:val="OfferedBy"/>
            <w:spacing w:after="120"/>
          </w:pPr>
          <w:r>
            <w:tab/>
          </w:r>
          <w:r>
            <w:tab/>
          </w:r>
          <w:r>
            <w:tab/>
          </w:r>
        </w:p>
      </w:customXml>
      <w:customXml w:element="Heading">
        <w:p w:rsidR="00DF5D0E" w:rsidRDefault="004136F8">
          <w:customXml w:element="ReferenceNumber">
            <w:r w:rsidR="000402EE">
              <w:rPr>
                <w:b/>
                <w:u w:val="single"/>
              </w:rPr>
              <w:t>2SHB 1393</w:t>
            </w:r>
            <w:r w:rsidR="00DE256E">
              <w:t xml:space="preserve"> - </w:t>
            </w:r>
          </w:customXml>
          <w:customXml w:element="Floor">
            <w:r w:rsidR="00AB6622">
              <w:t xml:space="preserve">H AMD TO </w:t>
            </w:r>
            <w:permStart w:id="0" w:edGrp="everyone"/>
            <w:r w:rsidR="00AB6622">
              <w:t>H AMD (</w:t>
            </w:r>
            <w:permEnd w:id="0"/>
            <w:r w:rsidR="000402EE">
              <w:t>1393-S2 AMH SPRI ADAM 034)</w:t>
            </w:r>
          </w:customXml>
          <w:customXml w:element="AmendNumber">
            <w:r>
              <w:rPr>
                <w:b/>
              </w:rPr>
              <w:t xml:space="preserve"> 341</w:t>
            </w:r>
          </w:customXml>
        </w:p>
        <w:p w:rsidR="00DF5D0E" w:rsidRDefault="004136F8" w:rsidP="00605C39">
          <w:pPr>
            <w:ind w:firstLine="576"/>
          </w:pPr>
          <w:customXml w:element="Sponsors">
            <w:r>
              <w:t xml:space="preserve">By Representative Rodne</w:t>
            </w:r>
          </w:customXml>
        </w:p>
        <w:p w:rsidR="00DF5D0E" w:rsidRDefault="004136F8" w:rsidP="00846034">
          <w:pPr>
            <w:spacing w:line="408" w:lineRule="exact"/>
            <w:jc w:val="right"/>
            <w:rPr>
              <w:b/>
              <w:bCs/>
            </w:rPr>
          </w:pPr>
          <w:customXml w:element="FloorAction">
            <w:r>
              <w:t xml:space="preserve">OUT OF ORDER 3/11/2009</w:t>
            </w:r>
          </w:customXml>
        </w:p>
      </w:customXml>
      <w:permStart w:id="1" w:edGrp="everyone" w:displacedByCustomXml="next"/>
      <w:customXml w:element="Page">
        <w:p w:rsidR="00E519F3" w:rsidRPr="009C0D34" w:rsidRDefault="004136F8" w:rsidP="009C0D34">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519F3" w:rsidRPr="009C0D34">
            <w:rPr>
              <w:spacing w:val="0"/>
            </w:rPr>
            <w:t>On page 1 of the striking amendment, strike all material after line 2 and insert the following:</w:t>
          </w:r>
        </w:p>
        <w:p w:rsidR="00E519F3" w:rsidRPr="009C0D34" w:rsidRDefault="00E519F3" w:rsidP="009C0D34">
          <w:pPr>
            <w:pStyle w:val="RCWSLText"/>
            <w:rPr>
              <w:spacing w:val="0"/>
            </w:rPr>
          </w:pPr>
        </w:p>
        <w:p w:rsidR="00D702B0" w:rsidRPr="009C0D34" w:rsidRDefault="009C0D34" w:rsidP="009C0D34">
          <w:pPr>
            <w:pStyle w:val="RCWSLText"/>
            <w:rPr>
              <w:spacing w:val="0"/>
            </w:rPr>
          </w:pPr>
          <w:r>
            <w:rPr>
              <w:spacing w:val="0"/>
            </w:rPr>
            <w:tab/>
          </w:r>
          <w:r w:rsidR="00E519F3" w:rsidRPr="009C0D34">
            <w:rPr>
              <w:spacing w:val="0"/>
            </w:rPr>
            <w:t>"</w:t>
          </w:r>
          <w:r w:rsidR="00D702B0" w:rsidRPr="009C0D34">
            <w:rPr>
              <w:spacing w:val="0"/>
              <w:u w:val="single"/>
            </w:rPr>
            <w:t>NEW SECTION.</w:t>
          </w:r>
          <w:r w:rsidR="00D702B0" w:rsidRPr="009C0D34">
            <w:rPr>
              <w:spacing w:val="0"/>
            </w:rPr>
            <w:t xml:space="preserve">  </w:t>
          </w:r>
          <w:r w:rsidR="00D702B0" w:rsidRPr="009C0D34">
            <w:rPr>
              <w:b/>
              <w:bCs/>
              <w:spacing w:val="0"/>
            </w:rPr>
            <w:t>Sec. 1.</w:t>
          </w:r>
          <w:r w:rsidR="00D702B0" w:rsidRPr="009C0D34">
            <w:rPr>
              <w:spacing w:val="0"/>
            </w:rPr>
            <w:t xml:space="preserve">   The legislature finds that homeowners have experienced problems in residential construction, resulting in great economic loss, only to discover that there are limited remedies available at law, if any.  However, it is unclear if construction defects are an industry</w:t>
          </w:r>
          <w:r w:rsidR="00D702B0" w:rsidRPr="009C0D34">
            <w:rPr>
              <w:spacing w:val="0"/>
            </w:rPr>
            <w:noBreakHyphen/>
            <w:t>wide problem or limited to a small segment of builders and other construction professionals.  The scope and nature of the problem must be determined in order for the legislature to develop a comprehensive solution that may necessitate several pieces of legislation covering a wide range of issues from contractor licensing, permit processes and sign-offs, requirements of the state building code and of building officials, as well as homeowner warranties.</w:t>
          </w:r>
        </w:p>
        <w:p w:rsidR="00D702B0" w:rsidRPr="009C0D34" w:rsidRDefault="00D702B0" w:rsidP="009C0D34">
          <w:pPr>
            <w:pStyle w:val="RCWSLText"/>
            <w:rPr>
              <w:spacing w:val="0"/>
            </w:rPr>
          </w:pPr>
        </w:p>
        <w:p w:rsidR="00D702B0" w:rsidRPr="009C0D34" w:rsidRDefault="009C0D34" w:rsidP="009C0D34">
          <w:pPr>
            <w:pStyle w:val="RCWSLText"/>
            <w:rPr>
              <w:spacing w:val="0"/>
            </w:rPr>
          </w:pPr>
          <w:r w:rsidRPr="009C0D34">
            <w:rPr>
              <w:spacing w:val="0"/>
            </w:rPr>
            <w:tab/>
          </w:r>
          <w:r w:rsidR="00D702B0" w:rsidRPr="009C0D34">
            <w:rPr>
              <w:spacing w:val="0"/>
              <w:u w:val="single"/>
            </w:rPr>
            <w:t>NEW SECTION.</w:t>
          </w:r>
          <w:r w:rsidR="00D702B0" w:rsidRPr="009C0D34">
            <w:rPr>
              <w:spacing w:val="0"/>
            </w:rPr>
            <w:t xml:space="preserve">  </w:t>
          </w:r>
          <w:r w:rsidR="00D702B0" w:rsidRPr="009C0D34">
            <w:rPr>
              <w:b/>
              <w:bCs/>
              <w:spacing w:val="0"/>
            </w:rPr>
            <w:t>Sec. 2.</w:t>
          </w:r>
          <w:r w:rsidR="00D702B0" w:rsidRPr="009C0D34">
            <w:rPr>
              <w:spacing w:val="0"/>
            </w:rPr>
            <w:t xml:space="preserve">  (1) A committee on residential construction is created.  The committee consists of the following members who have experience and expertise in residential construction law or residential construction:</w:t>
          </w:r>
        </w:p>
        <w:p w:rsidR="00D702B0" w:rsidRPr="009C0D34" w:rsidRDefault="009C0D34" w:rsidP="009C0D34">
          <w:pPr>
            <w:pStyle w:val="RCWSLText"/>
            <w:rPr>
              <w:spacing w:val="0"/>
            </w:rPr>
          </w:pPr>
          <w:r>
            <w:rPr>
              <w:spacing w:val="0"/>
            </w:rPr>
            <w:tab/>
          </w:r>
          <w:r w:rsidR="00D702B0" w:rsidRPr="009C0D34">
            <w:rPr>
              <w:spacing w:val="0"/>
            </w:rPr>
            <w:t>(a) One member from each caucus of the senate, appointed by the president of the senate;</w:t>
          </w:r>
        </w:p>
        <w:p w:rsidR="00D702B0" w:rsidRPr="009C0D34" w:rsidRDefault="009C0D34" w:rsidP="009C0D34">
          <w:pPr>
            <w:pStyle w:val="RCWSLText"/>
            <w:rPr>
              <w:spacing w:val="0"/>
            </w:rPr>
          </w:pPr>
          <w:r>
            <w:rPr>
              <w:spacing w:val="0"/>
            </w:rPr>
            <w:tab/>
          </w:r>
          <w:r w:rsidR="00D702B0" w:rsidRPr="009C0D34">
            <w:rPr>
              <w:spacing w:val="0"/>
            </w:rPr>
            <w:t>(b) One member from each caucus of the house of representatives, appointed by the speaker of the house of representatives;</w:t>
          </w:r>
        </w:p>
        <w:p w:rsidR="00D702B0" w:rsidRPr="009C0D34" w:rsidRDefault="009C0D34" w:rsidP="009C0D34">
          <w:pPr>
            <w:pStyle w:val="RCWSLText"/>
            <w:rPr>
              <w:spacing w:val="0"/>
            </w:rPr>
          </w:pPr>
          <w:r>
            <w:rPr>
              <w:spacing w:val="0"/>
            </w:rPr>
            <w:tab/>
          </w:r>
          <w:r w:rsidR="00D702B0" w:rsidRPr="009C0D34">
            <w:rPr>
              <w:spacing w:val="0"/>
            </w:rPr>
            <w:t>(c) The director of the department of labor and industries or the director's designee;</w:t>
          </w:r>
        </w:p>
        <w:p w:rsidR="00D702B0" w:rsidRPr="009C0D34" w:rsidRDefault="009C0D34" w:rsidP="009C0D34">
          <w:pPr>
            <w:pStyle w:val="RCWSLText"/>
            <w:rPr>
              <w:spacing w:val="0"/>
            </w:rPr>
          </w:pPr>
          <w:r>
            <w:rPr>
              <w:spacing w:val="0"/>
            </w:rPr>
            <w:lastRenderedPageBreak/>
            <w:tab/>
          </w:r>
          <w:r w:rsidR="00D702B0" w:rsidRPr="009C0D34">
            <w:rPr>
              <w:spacing w:val="0"/>
            </w:rPr>
            <w:t>(d) The president of the state building code council or the president's designee;</w:t>
          </w:r>
        </w:p>
        <w:p w:rsidR="00D702B0" w:rsidRPr="009C0D34" w:rsidRDefault="00D702B0" w:rsidP="009C0D34">
          <w:pPr>
            <w:pStyle w:val="RCWSLText"/>
            <w:rPr>
              <w:spacing w:val="0"/>
            </w:rPr>
          </w:pPr>
          <w:r w:rsidRPr="009C0D34">
            <w:rPr>
              <w:spacing w:val="0"/>
            </w:rPr>
            <w:t xml:space="preserve">   </w:t>
          </w:r>
          <w:r w:rsidRPr="009C0D34">
            <w:rPr>
              <w:spacing w:val="0"/>
            </w:rPr>
            <w:tab/>
            <w:t>(e) The following six members, jointly appointed by the speaker of the house of representatives and the president of the senate:</w:t>
          </w:r>
        </w:p>
        <w:p w:rsidR="00D702B0" w:rsidRPr="009C0D34" w:rsidRDefault="009C0D34" w:rsidP="009C0D34">
          <w:pPr>
            <w:pStyle w:val="RCWSLText"/>
            <w:rPr>
              <w:spacing w:val="0"/>
            </w:rPr>
          </w:pPr>
          <w:r>
            <w:rPr>
              <w:spacing w:val="0"/>
            </w:rPr>
            <w:tab/>
          </w:r>
          <w:r w:rsidR="00D702B0" w:rsidRPr="009C0D34">
            <w:rPr>
              <w:spacing w:val="0"/>
            </w:rPr>
            <w:t>(i) Two builders;</w:t>
          </w:r>
        </w:p>
        <w:p w:rsidR="00D702B0" w:rsidRPr="009C0D34" w:rsidRDefault="009C0D34" w:rsidP="009C0D34">
          <w:pPr>
            <w:pStyle w:val="RCWSLText"/>
            <w:rPr>
              <w:spacing w:val="0"/>
            </w:rPr>
          </w:pPr>
          <w:r>
            <w:rPr>
              <w:spacing w:val="0"/>
            </w:rPr>
            <w:tab/>
          </w:r>
          <w:r w:rsidR="00D702B0" w:rsidRPr="009C0D34">
            <w:rPr>
              <w:spacing w:val="0"/>
            </w:rPr>
            <w:t>(ii) A residential construction defect plaintiff's attorney;</w:t>
          </w:r>
        </w:p>
        <w:p w:rsidR="00D702B0" w:rsidRPr="009C0D34" w:rsidRDefault="009C0D34" w:rsidP="009C0D34">
          <w:pPr>
            <w:pStyle w:val="RCWSLText"/>
            <w:rPr>
              <w:spacing w:val="0"/>
            </w:rPr>
          </w:pPr>
          <w:r>
            <w:rPr>
              <w:spacing w:val="0"/>
            </w:rPr>
            <w:tab/>
          </w:r>
          <w:r w:rsidR="00D702B0" w:rsidRPr="009C0D34">
            <w:rPr>
              <w:spacing w:val="0"/>
            </w:rPr>
            <w:t xml:space="preserve">(iii) A residential construction defect defense attorney; </w:t>
          </w:r>
        </w:p>
        <w:p w:rsidR="00D702B0" w:rsidRPr="009C0D34" w:rsidRDefault="009C0D34" w:rsidP="009C0D34">
          <w:pPr>
            <w:pStyle w:val="RCWSLText"/>
            <w:rPr>
              <w:spacing w:val="0"/>
            </w:rPr>
          </w:pPr>
          <w:r>
            <w:rPr>
              <w:spacing w:val="0"/>
            </w:rPr>
            <w:tab/>
          </w:r>
          <w:r w:rsidR="00D702B0" w:rsidRPr="009C0D34">
            <w:rPr>
              <w:spacing w:val="0"/>
            </w:rPr>
            <w:t xml:space="preserve">(iv) A representative of the insurance industry; and </w:t>
          </w:r>
        </w:p>
        <w:p w:rsidR="00D702B0" w:rsidRPr="009C0D34" w:rsidRDefault="009C0D34" w:rsidP="009C0D34">
          <w:pPr>
            <w:pStyle w:val="RCWSLText"/>
            <w:rPr>
              <w:spacing w:val="0"/>
            </w:rPr>
          </w:pPr>
          <w:r>
            <w:rPr>
              <w:spacing w:val="0"/>
            </w:rPr>
            <w:tab/>
          </w:r>
          <w:r w:rsidR="00D702B0" w:rsidRPr="009C0D34">
            <w:rPr>
              <w:spacing w:val="0"/>
            </w:rPr>
            <w:t>(v) A representative of a statewide building industry association.</w:t>
          </w:r>
        </w:p>
        <w:p w:rsidR="00D702B0" w:rsidRPr="009C0D34" w:rsidRDefault="009C0D34" w:rsidP="009C0D34">
          <w:pPr>
            <w:pStyle w:val="RCWSLText"/>
            <w:rPr>
              <w:spacing w:val="0"/>
            </w:rPr>
          </w:pPr>
          <w:r>
            <w:rPr>
              <w:spacing w:val="0"/>
            </w:rPr>
            <w:tab/>
          </w:r>
          <w:r w:rsidR="00D702B0" w:rsidRPr="009C0D34">
            <w:rPr>
              <w:spacing w:val="0"/>
            </w:rPr>
            <w:t>(2) The committee shall choose two co-chairs from among its membership.</w:t>
          </w:r>
        </w:p>
        <w:p w:rsidR="00D702B0" w:rsidRPr="009C0D34" w:rsidRDefault="009C0D34" w:rsidP="009C0D34">
          <w:pPr>
            <w:pStyle w:val="RCWSLText"/>
            <w:rPr>
              <w:spacing w:val="0"/>
            </w:rPr>
          </w:pPr>
          <w:r>
            <w:rPr>
              <w:spacing w:val="0"/>
            </w:rPr>
            <w:tab/>
          </w:r>
          <w:r w:rsidR="00D702B0" w:rsidRPr="009C0D34">
            <w:rPr>
              <w:spacing w:val="0"/>
            </w:rPr>
            <w:t>(3) The committee shall:</w:t>
          </w:r>
        </w:p>
        <w:p w:rsidR="00D702B0" w:rsidRPr="009C0D34" w:rsidRDefault="009C0D34" w:rsidP="009C0D34">
          <w:pPr>
            <w:pStyle w:val="RCWSLText"/>
            <w:rPr>
              <w:spacing w:val="0"/>
            </w:rPr>
          </w:pPr>
          <w:r>
            <w:rPr>
              <w:spacing w:val="0"/>
            </w:rPr>
            <w:tab/>
          </w:r>
          <w:r w:rsidR="00D702B0" w:rsidRPr="009C0D34">
            <w:rPr>
              <w:spacing w:val="0"/>
            </w:rPr>
            <w:t>(a) Examine whether enhanced regulation of construction professionals is needed, including whether contractors should be licensed or subject to enhanced registration requirements, whether construction workers should be certified, and what education and training requirements should exist for contractors and construction workers;</w:t>
          </w:r>
        </w:p>
        <w:p w:rsidR="00D702B0" w:rsidRPr="009C0D34" w:rsidRDefault="009C0D34" w:rsidP="009C0D34">
          <w:pPr>
            <w:pStyle w:val="RCWSLText"/>
            <w:rPr>
              <w:spacing w:val="0"/>
            </w:rPr>
          </w:pPr>
          <w:r>
            <w:rPr>
              <w:spacing w:val="0"/>
            </w:rPr>
            <w:tab/>
          </w:r>
          <w:r w:rsidR="00D702B0" w:rsidRPr="009C0D34">
            <w:rPr>
              <w:spacing w:val="0"/>
            </w:rPr>
            <w:t>(b) Evaluate whether current surety bond requirements are sufficient or if increased or additional bonding requirements are necessary to protect both construction professionals and home</w:t>
          </w:r>
          <w:r>
            <w:rPr>
              <w:spacing w:val="0"/>
            </w:rPr>
            <w:t>owners</w:t>
          </w:r>
          <w:r w:rsidR="00D702B0" w:rsidRPr="009C0D34">
            <w:rPr>
              <w:spacing w:val="0"/>
            </w:rPr>
            <w:t>;</w:t>
          </w:r>
        </w:p>
        <w:p w:rsidR="00D702B0" w:rsidRPr="009C0D34" w:rsidRDefault="009C0D34" w:rsidP="009C0D34">
          <w:pPr>
            <w:pStyle w:val="RCWSLText"/>
            <w:rPr>
              <w:spacing w:val="0"/>
            </w:rPr>
          </w:pPr>
          <w:r>
            <w:rPr>
              <w:spacing w:val="0"/>
            </w:rPr>
            <w:tab/>
          </w:r>
          <w:r w:rsidR="00D702B0" w:rsidRPr="009C0D34">
            <w:rPr>
              <w:spacing w:val="0"/>
            </w:rPr>
            <w:t>(c) Examine the state building code and determine whether the code should be strengthened to protect homeowners;</w:t>
          </w:r>
        </w:p>
        <w:p w:rsidR="00D702B0" w:rsidRPr="009C0D34" w:rsidRDefault="009C0D34" w:rsidP="009C0D34">
          <w:pPr>
            <w:pStyle w:val="RCWSLText"/>
            <w:rPr>
              <w:spacing w:val="0"/>
            </w:rPr>
          </w:pPr>
          <w:r>
            <w:rPr>
              <w:spacing w:val="0"/>
            </w:rPr>
            <w:tab/>
          </w:r>
          <w:r w:rsidR="00D702B0" w:rsidRPr="009C0D34">
            <w:rPr>
              <w:spacing w:val="0"/>
            </w:rPr>
            <w:t>(d) Determine whether there should be increased standards for city and county building inspectors;</w:t>
          </w:r>
        </w:p>
        <w:p w:rsidR="00D702B0" w:rsidRPr="009C0D34" w:rsidRDefault="009C0D34" w:rsidP="009C0D34">
          <w:pPr>
            <w:pStyle w:val="RCWSLText"/>
            <w:rPr>
              <w:spacing w:val="0"/>
            </w:rPr>
          </w:pPr>
          <w:r>
            <w:rPr>
              <w:spacing w:val="0"/>
            </w:rPr>
            <w:tab/>
          </w:r>
          <w:r w:rsidR="00D702B0" w:rsidRPr="009C0D34">
            <w:rPr>
              <w:spacing w:val="0"/>
            </w:rPr>
            <w:t xml:space="preserve">(e) Study current remedies at law for residential construction defects; </w:t>
          </w:r>
        </w:p>
        <w:p w:rsidR="00D702B0" w:rsidRPr="009C0D34" w:rsidRDefault="009C0D34" w:rsidP="009C0D34">
          <w:pPr>
            <w:pStyle w:val="RCWSLText"/>
            <w:rPr>
              <w:spacing w:val="0"/>
            </w:rPr>
          </w:pPr>
          <w:r>
            <w:rPr>
              <w:spacing w:val="0"/>
            </w:rPr>
            <w:tab/>
          </w:r>
          <w:r w:rsidR="00D702B0" w:rsidRPr="009C0D34">
            <w:rPr>
              <w:spacing w:val="0"/>
            </w:rPr>
            <w:t>(f) Evaluate what impact a statutory warranty for new home construction would have on the industry and home</w:t>
          </w:r>
          <w:r>
            <w:rPr>
              <w:spacing w:val="0"/>
            </w:rPr>
            <w:t>owners</w:t>
          </w:r>
          <w:r w:rsidR="00D702B0" w:rsidRPr="009C0D34">
            <w:rPr>
              <w:spacing w:val="0"/>
            </w:rPr>
            <w:t xml:space="preserve"> including, but not limited to, any concerns regarding increased insurance costs for construction professionals and home costs for home</w:t>
          </w:r>
          <w:r>
            <w:rPr>
              <w:spacing w:val="0"/>
            </w:rPr>
            <w:t>owners</w:t>
          </w:r>
          <w:r w:rsidR="00D702B0" w:rsidRPr="009C0D34">
            <w:rPr>
              <w:spacing w:val="0"/>
            </w:rPr>
            <w:t xml:space="preserve">.  Within this evaluation, the committee shall examine other states </w:t>
          </w:r>
          <w:r w:rsidR="00D702B0" w:rsidRPr="009C0D34">
            <w:rPr>
              <w:spacing w:val="0"/>
            </w:rPr>
            <w:lastRenderedPageBreak/>
            <w:t>that have implemented statutory home warranties including, at a minimum, Maryland and California; and</w:t>
          </w:r>
        </w:p>
        <w:p w:rsidR="00D702B0" w:rsidRPr="009C0D34" w:rsidRDefault="009C0D34" w:rsidP="009C0D34">
          <w:pPr>
            <w:pStyle w:val="RCWSLText"/>
            <w:rPr>
              <w:spacing w:val="0"/>
            </w:rPr>
          </w:pPr>
          <w:r>
            <w:rPr>
              <w:spacing w:val="0"/>
            </w:rPr>
            <w:tab/>
          </w:r>
          <w:r w:rsidR="00D702B0" w:rsidRPr="009C0D34">
            <w:rPr>
              <w:spacing w:val="0"/>
            </w:rPr>
            <w:t>(g) Examine alternative models for addressing residential property construction defects, including an examination of Oregon's construction contractors board model for resolving construction defect claims.</w:t>
          </w:r>
        </w:p>
        <w:p w:rsidR="00D702B0" w:rsidRPr="009C0D34" w:rsidRDefault="009C0D34" w:rsidP="009C0D34">
          <w:pPr>
            <w:pStyle w:val="RCWSLText"/>
            <w:rPr>
              <w:spacing w:val="0"/>
            </w:rPr>
          </w:pPr>
          <w:r>
            <w:rPr>
              <w:spacing w:val="0"/>
            </w:rPr>
            <w:tab/>
          </w:r>
          <w:r w:rsidR="00D702B0" w:rsidRPr="009C0D34">
            <w:rPr>
              <w:spacing w:val="0"/>
            </w:rPr>
            <w:t>(4) By December 31, 2009, the committee shall deliver to the appropriate committees of the legislature a report of the findings and conclusions of the committee and any proposed legislation.</w:t>
          </w:r>
        </w:p>
        <w:p w:rsidR="00D702B0" w:rsidRPr="009C0D34" w:rsidRDefault="00D702B0" w:rsidP="009C0D34">
          <w:pPr>
            <w:pStyle w:val="RCWSLText"/>
            <w:rPr>
              <w:spacing w:val="0"/>
            </w:rPr>
          </w:pPr>
        </w:p>
        <w:p w:rsidR="00D702B0" w:rsidRPr="009C0D34" w:rsidRDefault="009C0D34" w:rsidP="009C0D34">
          <w:pPr>
            <w:pStyle w:val="RCWSLText"/>
            <w:rPr>
              <w:spacing w:val="0"/>
            </w:rPr>
          </w:pPr>
          <w:r w:rsidRPr="009C0D34">
            <w:rPr>
              <w:spacing w:val="0"/>
            </w:rPr>
            <w:tab/>
          </w:r>
          <w:r w:rsidR="00D702B0" w:rsidRPr="009C0D34">
            <w:rPr>
              <w:spacing w:val="0"/>
              <w:u w:val="single"/>
            </w:rPr>
            <w:t>NEW SECTION.</w:t>
          </w:r>
          <w:r w:rsidR="00D702B0" w:rsidRPr="009C0D34">
            <w:rPr>
              <w:spacing w:val="0"/>
            </w:rPr>
            <w:t xml:space="preserve">  </w:t>
          </w:r>
          <w:r w:rsidR="00D702B0" w:rsidRPr="009C0D34">
            <w:rPr>
              <w:b/>
              <w:bCs/>
              <w:spacing w:val="0"/>
            </w:rPr>
            <w:t>Sec. 3.</w:t>
          </w:r>
          <w:r w:rsidR="00D702B0" w:rsidRPr="009C0D34">
            <w:rPr>
              <w:spacing w:val="0"/>
            </w:rPr>
            <w:t xml:space="preserve">   This act expires January 31, 20</w:t>
          </w:r>
          <w:r>
            <w:rPr>
              <w:spacing w:val="0"/>
            </w:rPr>
            <w:t>10</w:t>
          </w:r>
          <w:r w:rsidR="00D702B0" w:rsidRPr="009C0D34">
            <w:rPr>
              <w:spacing w:val="0"/>
            </w:rPr>
            <w:t>.</w:t>
          </w:r>
        </w:p>
        <w:p w:rsidR="00D702B0" w:rsidRPr="009C0D34" w:rsidRDefault="00D702B0" w:rsidP="009C0D34">
          <w:pPr>
            <w:pStyle w:val="RCWSLText"/>
            <w:rPr>
              <w:spacing w:val="0"/>
            </w:rPr>
          </w:pPr>
        </w:p>
        <w:p w:rsidR="000402EE" w:rsidRPr="009C0D34" w:rsidRDefault="00D702B0" w:rsidP="009C0D34">
          <w:pPr>
            <w:pStyle w:val="RCWSLText"/>
            <w:rPr>
              <w:spacing w:val="0"/>
            </w:rPr>
          </w:pPr>
          <w:r w:rsidRPr="009C0D34">
            <w:rPr>
              <w:spacing w:val="0"/>
            </w:rPr>
            <w:tab/>
            <w:t>Correct the title."</w:t>
          </w:r>
          <w:r w:rsidR="000402EE" w:rsidRPr="009C0D34">
            <w:rPr>
              <w:spacing w:val="0"/>
            </w:rPr>
            <w:t xml:space="preserve"> </w:t>
          </w:r>
        </w:p>
        <w:p w:rsidR="00DF5D0E" w:rsidRPr="00523C5A" w:rsidRDefault="004136F8" w:rsidP="000402EE">
          <w:pPr>
            <w:pStyle w:val="RCWSLText"/>
            <w:suppressLineNumbers/>
          </w:pPr>
        </w:p>
      </w:customXml>
      <w:customXml w:element="Effect">
        <w:p w:rsidR="00ED2EEB" w:rsidRDefault="00DE256E" w:rsidP="000402EE">
          <w:pPr>
            <w:pStyle w:val="Effect"/>
            <w:suppressLineNumbers/>
          </w:pPr>
          <w:r>
            <w:tab/>
          </w:r>
        </w:p>
        <w:p w:rsidR="00D702B0" w:rsidRDefault="00D702B0" w:rsidP="00D702B0">
          <w:pPr>
            <w:pStyle w:val="Effect"/>
            <w:rPr>
              <w:spacing w:val="0"/>
            </w:rPr>
          </w:pPr>
          <w:r w:rsidRPr="00D702B0">
            <w:rPr>
              <w:b/>
              <w:spacing w:val="0"/>
            </w:rPr>
            <w:tab/>
          </w:r>
          <w:r w:rsidRPr="00D702B0">
            <w:rPr>
              <w:b/>
              <w:spacing w:val="0"/>
            </w:rPr>
            <w:tab/>
          </w:r>
          <w:r w:rsidR="00DE256E" w:rsidRPr="00D702B0">
            <w:rPr>
              <w:b/>
              <w:spacing w:val="0"/>
              <w:u w:val="single"/>
            </w:rPr>
            <w:t>EFFECT:</w:t>
          </w:r>
          <w:r w:rsidRPr="00D702B0">
            <w:rPr>
              <w:spacing w:val="0"/>
            </w:rPr>
            <w:t xml:space="preserve"> Strikes the provisions of the </w:t>
          </w:r>
          <w:r w:rsidR="00CC5025">
            <w:rPr>
              <w:spacing w:val="0"/>
            </w:rPr>
            <w:t>striking amendment</w:t>
          </w:r>
          <w:r w:rsidRPr="00D702B0">
            <w:rPr>
              <w:spacing w:val="0"/>
            </w:rPr>
            <w:t xml:space="preserve"> and establishes a Committee on Residential Construction.  The Committee must study issues relating to residential construction, including:  (1) whether contractors should be licensed or subject to enhanced registration requirements and whether construction workers should be certified;  (2) current remedies available for construction defects;  (3) the impact of creating a statutory warranty program; </w:t>
          </w:r>
          <w:r>
            <w:rPr>
              <w:spacing w:val="0"/>
            </w:rPr>
            <w:t xml:space="preserve">(4) whether state building code standards and duties of inspectors should be expanded; </w:t>
          </w:r>
          <w:r w:rsidRPr="00D702B0">
            <w:rPr>
              <w:spacing w:val="0"/>
            </w:rPr>
            <w:t>and (</w:t>
          </w:r>
          <w:r>
            <w:rPr>
              <w:spacing w:val="0"/>
            </w:rPr>
            <w:t>5</w:t>
          </w:r>
          <w:r w:rsidRPr="00D702B0">
            <w:rPr>
              <w:spacing w:val="0"/>
            </w:rPr>
            <w:t>) other models for resolving construction defect claims, including Oregon's Construction Contractors Board</w:t>
          </w:r>
          <w:r>
            <w:rPr>
              <w:spacing w:val="0"/>
            </w:rPr>
            <w:t xml:space="preserve"> model</w:t>
          </w:r>
          <w:r w:rsidRPr="00D702B0">
            <w:rPr>
              <w:spacing w:val="0"/>
            </w:rPr>
            <w:t>.</w:t>
          </w:r>
        </w:p>
        <w:p w:rsidR="00D702B0" w:rsidRPr="00D702B0" w:rsidRDefault="00D702B0" w:rsidP="00D702B0">
          <w:pPr>
            <w:pStyle w:val="Effect"/>
            <w:rPr>
              <w:spacing w:val="0"/>
            </w:rPr>
          </w:pPr>
        </w:p>
        <w:p w:rsidR="00D702B0" w:rsidRPr="00D8792C" w:rsidRDefault="00D702B0" w:rsidP="00D8792C">
          <w:pPr>
            <w:pStyle w:val="Effect"/>
            <w:rPr>
              <w:spacing w:val="0"/>
            </w:rPr>
          </w:pPr>
          <w:r>
            <w:tab/>
          </w:r>
          <w:r>
            <w:tab/>
          </w:r>
          <w:r w:rsidRPr="00D702B0">
            <w:t>The Committee must submit a report with its findings and recommendations to the Legislature by December 31, 2009.</w:t>
          </w:r>
          <w:r w:rsidRPr="00D8792C">
            <w:rPr>
              <w:spacing w:val="0"/>
            </w:rPr>
            <w:t xml:space="preserve">  </w:t>
          </w:r>
        </w:p>
        <w:p w:rsidR="000402EE" w:rsidRPr="00D8792C" w:rsidRDefault="004136F8" w:rsidP="00D8792C">
          <w:pPr>
            <w:pStyle w:val="Effect"/>
            <w:rPr>
              <w:spacing w:val="0"/>
            </w:rPr>
          </w:pPr>
        </w:p>
      </w:customXml>
      <w:p w:rsidR="00DF5D0E" w:rsidRPr="00D8792C" w:rsidRDefault="00DF5D0E" w:rsidP="00D8792C">
        <w:pPr>
          <w:pStyle w:val="Effect"/>
          <w:rPr>
            <w:spacing w:val="0"/>
          </w:rPr>
        </w:pPr>
      </w:p>
      <w:permEnd w:id="1"/>
      <w:p w:rsidR="00DF5D0E" w:rsidRDefault="00DF5D0E" w:rsidP="000402EE">
        <w:pPr>
          <w:pStyle w:val="AmendSectionPostSpace"/>
          <w:suppressLineNumbers/>
        </w:pPr>
      </w:p>
      <w:p w:rsidR="00DF5D0E" w:rsidRDefault="00DF5D0E" w:rsidP="000402EE">
        <w:pPr>
          <w:pStyle w:val="BillEnd"/>
          <w:suppressLineNumbers/>
        </w:pPr>
      </w:p>
      <w:p w:rsidR="00DF5D0E" w:rsidRDefault="00DE256E" w:rsidP="000402EE">
        <w:pPr>
          <w:pStyle w:val="BillEnd"/>
          <w:suppressLineNumbers/>
        </w:pPr>
        <w:r>
          <w:rPr>
            <w:b/>
          </w:rPr>
          <w:t>--- END ---</w:t>
        </w:r>
      </w:p>
      <w:p w:rsidR="00DF5D0E" w:rsidRDefault="004136F8" w:rsidP="000402E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E1" w:rsidRDefault="009826E1" w:rsidP="00DF5D0E">
      <w:r>
        <w:separator/>
      </w:r>
    </w:p>
  </w:endnote>
  <w:endnote w:type="continuationSeparator" w:id="1">
    <w:p w:rsidR="009826E1" w:rsidRDefault="009826E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36F8">
    <w:pPr>
      <w:pStyle w:val="AmendDraftFooter"/>
    </w:pPr>
    <w:fldSimple w:instr=" TITLE   \* MERGEFORMAT ">
      <w:r w:rsidR="0002389D">
        <w:t>1393-S2 AMH RODN ADAM 035</w:t>
      </w:r>
    </w:fldSimple>
    <w:r w:rsidR="00DE256E">
      <w:tab/>
    </w:r>
    <w:r>
      <w:fldChar w:fldCharType="begin"/>
    </w:r>
    <w:r w:rsidR="00DE256E">
      <w:instrText xml:space="preserve"> PAGE  \* Arabic  \* MERGEFORMAT </w:instrText>
    </w:r>
    <w:r>
      <w:fldChar w:fldCharType="separate"/>
    </w:r>
    <w:r w:rsidR="0002389D">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36F8">
    <w:pPr>
      <w:pStyle w:val="AmendDraftFooter"/>
    </w:pPr>
    <w:fldSimple w:instr=" TITLE   \* MERGEFORMAT ">
      <w:r w:rsidR="0002389D">
        <w:t>1393-S2 AMH RODN ADAM 035</w:t>
      </w:r>
    </w:fldSimple>
    <w:r w:rsidR="00DE256E">
      <w:tab/>
    </w:r>
    <w:r>
      <w:fldChar w:fldCharType="begin"/>
    </w:r>
    <w:r w:rsidR="00DE256E">
      <w:instrText xml:space="preserve"> PAGE  \* Arabic  \* MERGEFORMAT </w:instrText>
    </w:r>
    <w:r>
      <w:fldChar w:fldCharType="separate"/>
    </w:r>
    <w:r w:rsidR="0002389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E1" w:rsidRDefault="009826E1" w:rsidP="00DF5D0E">
      <w:r>
        <w:separator/>
      </w:r>
    </w:p>
  </w:footnote>
  <w:footnote w:type="continuationSeparator" w:id="1">
    <w:p w:rsidR="009826E1" w:rsidRDefault="009826E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36F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136F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389D"/>
    <w:rsid w:val="000374A5"/>
    <w:rsid w:val="000402EE"/>
    <w:rsid w:val="00060D21"/>
    <w:rsid w:val="00096165"/>
    <w:rsid w:val="000C6C82"/>
    <w:rsid w:val="000E603A"/>
    <w:rsid w:val="00106544"/>
    <w:rsid w:val="001A775A"/>
    <w:rsid w:val="001E6675"/>
    <w:rsid w:val="00217E8A"/>
    <w:rsid w:val="00281CBD"/>
    <w:rsid w:val="00316CD9"/>
    <w:rsid w:val="003E2FC6"/>
    <w:rsid w:val="004136F8"/>
    <w:rsid w:val="00492DDC"/>
    <w:rsid w:val="00523C5A"/>
    <w:rsid w:val="00544221"/>
    <w:rsid w:val="00590C68"/>
    <w:rsid w:val="00605C39"/>
    <w:rsid w:val="0068066B"/>
    <w:rsid w:val="006841E6"/>
    <w:rsid w:val="006F7027"/>
    <w:rsid w:val="0072335D"/>
    <w:rsid w:val="0072541D"/>
    <w:rsid w:val="00784ADD"/>
    <w:rsid w:val="007D35D4"/>
    <w:rsid w:val="00804E04"/>
    <w:rsid w:val="00846034"/>
    <w:rsid w:val="00931B84"/>
    <w:rsid w:val="00944A2A"/>
    <w:rsid w:val="00972869"/>
    <w:rsid w:val="009826E1"/>
    <w:rsid w:val="009C0D34"/>
    <w:rsid w:val="009F23A9"/>
    <w:rsid w:val="00A01F29"/>
    <w:rsid w:val="00A55AB2"/>
    <w:rsid w:val="00A93D4A"/>
    <w:rsid w:val="00AB6622"/>
    <w:rsid w:val="00AD2D0A"/>
    <w:rsid w:val="00B31D1C"/>
    <w:rsid w:val="00B518D0"/>
    <w:rsid w:val="00B73E0A"/>
    <w:rsid w:val="00B961E0"/>
    <w:rsid w:val="00CC5025"/>
    <w:rsid w:val="00D40447"/>
    <w:rsid w:val="00D702B0"/>
    <w:rsid w:val="00D8792C"/>
    <w:rsid w:val="00DA47F3"/>
    <w:rsid w:val="00DE256E"/>
    <w:rsid w:val="00DF5D0E"/>
    <w:rsid w:val="00E1471A"/>
    <w:rsid w:val="00E41CC6"/>
    <w:rsid w:val="00E519F3"/>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3</Pages>
  <Words>896</Words>
  <Characters>3764</Characters>
  <Application>Microsoft Office Word</Application>
  <DocSecurity>8</DocSecurity>
  <Lines>470</Lines>
  <Paragraphs>258</Paragraphs>
  <ScaleCrop>false</ScaleCrop>
  <HeadingPairs>
    <vt:vector size="2" baseType="variant">
      <vt:variant>
        <vt:lpstr>Title</vt:lpstr>
      </vt:variant>
      <vt:variant>
        <vt:i4>1</vt:i4>
      </vt:variant>
    </vt:vector>
  </HeadingPairs>
  <TitlesOfParts>
    <vt:vector size="1" baseType="lpstr">
      <vt:lpstr>1393-S2 AMH RODN ADAM 035</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1393-S2 AMH RODN ADAM 035</dc:title>
  <dc:subject/>
  <dc:creator>Washington State Legislature</dc:creator>
  <cp:keywords/>
  <dc:description/>
  <cp:lastModifiedBy>Washington State Legislature</cp:lastModifiedBy>
  <cp:revision>9</cp:revision>
  <cp:lastPrinted>2009-03-10T23:52:00Z</cp:lastPrinted>
  <dcterms:created xsi:type="dcterms:W3CDTF">2009-03-10T21:22:00Z</dcterms:created>
  <dcterms:modified xsi:type="dcterms:W3CDTF">2009-03-10T23:52:00Z</dcterms:modified>
</cp:coreProperties>
</file>